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C2291" w:rsidRPr="00BC2291" w:rsidRDefault="00BC2291" w:rsidP="00D84950">
      <w:pPr>
        <w:pStyle w:val="ad"/>
        <w:ind w:firstLineChars="150" w:firstLine="450"/>
        <w:rPr>
          <w:rFonts w:ascii="黑体" w:eastAsia="黑体" w:hAnsi="黑体"/>
          <w:sz w:val="30"/>
          <w:szCs w:val="30"/>
        </w:rPr>
      </w:pPr>
      <w:r w:rsidRPr="00356A7E">
        <w:rPr>
          <w:rFonts w:ascii="黑体" w:eastAsia="黑体" w:hAnsi="黑体" w:hint="eastAsia"/>
          <w:sz w:val="30"/>
          <w:szCs w:val="30"/>
        </w:rPr>
        <w:t>附件</w:t>
      </w:r>
      <w:r>
        <w:rPr>
          <w:rFonts w:ascii="黑体" w:eastAsia="黑体" w:hAnsi="黑体" w:hint="eastAsia"/>
          <w:sz w:val="30"/>
          <w:szCs w:val="30"/>
        </w:rPr>
        <w:t>2</w:t>
      </w:r>
      <w:r>
        <w:rPr>
          <w:rFonts w:ascii="黑体" w:eastAsia="黑体" w:hAnsi="黑体"/>
          <w:sz w:val="30"/>
          <w:szCs w:val="30"/>
        </w:rPr>
        <w:t>-5</w:t>
      </w:r>
      <w:r w:rsidRPr="00356A7E">
        <w:rPr>
          <w:rFonts w:ascii="黑体" w:eastAsia="黑体" w:hAnsi="黑体" w:hint="eastAsia"/>
          <w:sz w:val="30"/>
          <w:szCs w:val="30"/>
        </w:rPr>
        <w:t>：</w:t>
      </w:r>
    </w:p>
    <w:p w:rsidR="00EE7EB9" w:rsidRPr="00DC68A5" w:rsidRDefault="00F217FA">
      <w:pPr>
        <w:jc w:val="center"/>
        <w:rPr>
          <w:rFonts w:ascii="黑体" w:eastAsia="黑体" w:hAnsi="黑体"/>
          <w:sz w:val="32"/>
          <w:szCs w:val="32"/>
        </w:rPr>
      </w:pPr>
      <w:r w:rsidRPr="00DC68A5">
        <w:rPr>
          <w:rFonts w:ascii="黑体" w:eastAsia="黑体" w:hAnsi="黑体" w:hint="eastAsia"/>
          <w:sz w:val="32"/>
          <w:szCs w:val="32"/>
        </w:rPr>
        <w:t>2019</w:t>
      </w:r>
      <w:r w:rsidR="00BC2291" w:rsidRPr="00DC68A5">
        <w:rPr>
          <w:rFonts w:ascii="黑体" w:eastAsia="黑体" w:hAnsi="黑体" w:hint="eastAsia"/>
          <w:sz w:val="32"/>
          <w:szCs w:val="32"/>
        </w:rPr>
        <w:t>年辽宁省普通高等学校护理学</w:t>
      </w:r>
      <w:r w:rsidRPr="00DC68A5">
        <w:rPr>
          <w:rFonts w:ascii="黑体" w:eastAsia="黑体" w:hAnsi="黑体" w:hint="eastAsia"/>
          <w:sz w:val="32"/>
          <w:szCs w:val="32"/>
        </w:rPr>
        <w:t>本科专业评估指标体系</w:t>
      </w:r>
    </w:p>
    <w:tbl>
      <w:tblPr>
        <w:tblW w:w="14608" w:type="dxa"/>
        <w:tblInd w:w="-34" w:type="dxa"/>
        <w:tblLayout w:type="fixed"/>
        <w:tblLook w:val="04A0"/>
      </w:tblPr>
      <w:tblGrid>
        <w:gridCol w:w="1843"/>
        <w:gridCol w:w="1985"/>
        <w:gridCol w:w="1276"/>
        <w:gridCol w:w="3260"/>
        <w:gridCol w:w="6"/>
        <w:gridCol w:w="5380"/>
        <w:gridCol w:w="6"/>
        <w:gridCol w:w="845"/>
        <w:gridCol w:w="7"/>
      </w:tblGrid>
      <w:tr w:rsidR="00EE7EB9" w:rsidTr="00AC0ECF">
        <w:trPr>
          <w:gridAfter w:val="1"/>
          <w:wAfter w:w="7" w:type="dxa"/>
          <w:trHeight w:val="975"/>
          <w:tblHeader/>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rsidP="00592B0C">
            <w:pPr>
              <w:widowControl/>
              <w:jc w:val="center"/>
              <w:rPr>
                <w:rFonts w:ascii="仿宋" w:eastAsia="仿宋" w:hAnsi="仿宋" w:cs="宋体"/>
                <w:b/>
                <w:bCs/>
                <w:kern w:val="0"/>
                <w:sz w:val="24"/>
              </w:rPr>
            </w:pPr>
            <w:r>
              <w:rPr>
                <w:rFonts w:ascii="仿宋" w:eastAsia="仿宋" w:hAnsi="仿宋" w:cs="宋体" w:hint="eastAsia"/>
                <w:b/>
                <w:bCs/>
                <w:kern w:val="0"/>
                <w:sz w:val="24"/>
              </w:rPr>
              <w:t>一级指标</w:t>
            </w: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b/>
                <w:bCs/>
                <w:kern w:val="0"/>
                <w:sz w:val="24"/>
              </w:rPr>
            </w:pPr>
            <w:r>
              <w:rPr>
                <w:rFonts w:ascii="仿宋" w:eastAsia="仿宋" w:hAnsi="仿宋" w:cs="宋体" w:hint="eastAsia"/>
                <w:b/>
                <w:bCs/>
                <w:kern w:val="0"/>
                <w:sz w:val="24"/>
              </w:rPr>
              <w:t>二级指标</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b/>
                <w:bCs/>
                <w:kern w:val="0"/>
                <w:sz w:val="24"/>
              </w:rPr>
            </w:pPr>
            <w:r>
              <w:rPr>
                <w:rFonts w:ascii="仿宋" w:eastAsia="仿宋" w:hAnsi="仿宋" w:cs="宋体" w:hint="eastAsia"/>
                <w:b/>
                <w:bCs/>
                <w:kern w:val="0"/>
                <w:sz w:val="24"/>
              </w:rPr>
              <w:t>主要观测点</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b/>
                <w:bCs/>
                <w:kern w:val="0"/>
                <w:sz w:val="24"/>
              </w:rPr>
            </w:pPr>
            <w:r>
              <w:rPr>
                <w:rFonts w:ascii="仿宋" w:eastAsia="仿宋" w:hAnsi="仿宋" w:cs="宋体" w:hint="eastAsia"/>
                <w:b/>
                <w:bCs/>
                <w:kern w:val="0"/>
                <w:sz w:val="24"/>
              </w:rPr>
              <w:t>指标说明</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b/>
                <w:bCs/>
                <w:kern w:val="0"/>
                <w:sz w:val="24"/>
              </w:rPr>
            </w:pPr>
            <w:r>
              <w:rPr>
                <w:rFonts w:ascii="仿宋" w:eastAsia="仿宋" w:hAnsi="仿宋" w:cs="宋体" w:hint="eastAsia"/>
                <w:b/>
                <w:bCs/>
                <w:kern w:val="0"/>
                <w:sz w:val="24"/>
              </w:rPr>
              <w:t>类型</w:t>
            </w:r>
          </w:p>
        </w:tc>
      </w:tr>
      <w:tr w:rsidR="00EE7EB9" w:rsidTr="00AC0ECF">
        <w:trPr>
          <w:gridAfter w:val="1"/>
          <w:wAfter w:w="7" w:type="dxa"/>
          <w:trHeight w:val="1194"/>
        </w:trPr>
        <w:tc>
          <w:tcPr>
            <w:tcW w:w="1843" w:type="dxa"/>
            <w:vMerge w:val="restart"/>
            <w:tcBorders>
              <w:top w:val="single" w:sz="4" w:space="0" w:color="auto"/>
              <w:left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1. 培养模式（10%）</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1.1 培养目标（30%）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1.1.1 培养目标和培养要求与专业人才培养定位、课程设置的符合程度（30%）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培养方案各要素匹配程度：培养目标、培养要求、主干学科、课程设置等要素之间的匹配程度</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97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1.1.2 毕业生的知识、能力和素质对培养目标的支撑程度（70%）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毕业生知识、能力、素质与培养目标的吻合程度</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984"/>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1.2 课程体系（50%）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1.2.1 课程设置与培养目标的吻合程度（20%）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课程设置对培养目标达成的支持程度；课程结构的合理性</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1026"/>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1.2.2 课程设置对知识、能力和素质要求的支持程度（25%）</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课程设置对培养计划中的知识、能力和素质要求的支持程度</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1305"/>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1.2.3 教学计划中专业主干课程和主要专业课程对知识和能力要求的支持程度（25%）</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教学计划中专业主干课程和主要专业课程对知识和能力要求的支持程度</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147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 xml:space="preserve">1.2.4 教学计划中护理临床实践教学环节对知识和能力要求的支持程度（30%） </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pPr>
            <w:r>
              <w:rPr>
                <w:rFonts w:ascii="仿宋" w:eastAsia="仿宋" w:hAnsi="仿宋" w:cs="宋体" w:hint="eastAsia"/>
                <w:kern w:val="0"/>
                <w:sz w:val="24"/>
              </w:rPr>
              <w:t>教学计划中护理临床实践教学环节对知识和能力要求的支持程度（考察早期临床见习（早期接触临床）、临床理论课程期间的见习（课间见习）、临床生产实习（毕业实习）轮转安排及实习大纲）</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931"/>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single" w:sz="4" w:space="0" w:color="auto"/>
              <w:right w:val="single" w:sz="4" w:space="0" w:color="auto"/>
            </w:tcBorders>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1.3 培养模式（20%）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textAlignment w:val="center"/>
              <w:rPr>
                <w:rFonts w:ascii="仿宋" w:eastAsia="仿宋" w:hAnsi="仿宋" w:cs="宋体"/>
                <w:kern w:val="0"/>
                <w:sz w:val="24"/>
              </w:rPr>
            </w:pPr>
            <w:r>
              <w:rPr>
                <w:rFonts w:ascii="仿宋" w:eastAsia="仿宋" w:hAnsi="仿宋" w:cs="仿宋" w:hint="eastAsia"/>
                <w:kern w:val="0"/>
                <w:sz w:val="24"/>
              </w:rPr>
              <w:t>1.3.1 专业人才培养模式改革创新的的具体措施与实施效果（60%）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textAlignment w:val="center"/>
              <w:rPr>
                <w:rFonts w:ascii="仿宋" w:eastAsia="仿宋" w:hAnsi="仿宋" w:cs="宋体"/>
                <w:kern w:val="0"/>
                <w:sz w:val="24"/>
              </w:rPr>
            </w:pPr>
            <w:r>
              <w:rPr>
                <w:rFonts w:ascii="仿宋" w:eastAsia="仿宋" w:hAnsi="仿宋" w:cs="仿宋" w:hint="eastAsia"/>
                <w:kern w:val="0"/>
                <w:sz w:val="24"/>
              </w:rPr>
              <w:t>专业人才培养模式改革创新的具体措施与实施效果</w:t>
            </w:r>
            <w:r w:rsidR="00592B0C">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EE7EB9" w:rsidTr="00AC0ECF">
        <w:trPr>
          <w:gridAfter w:val="1"/>
          <w:wAfter w:w="7" w:type="dxa"/>
          <w:trHeight w:val="1115"/>
        </w:trPr>
        <w:tc>
          <w:tcPr>
            <w:tcW w:w="1843" w:type="dxa"/>
            <w:vMerge/>
            <w:tcBorders>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left w:val="single" w:sz="4" w:space="0" w:color="auto"/>
              <w:bottom w:val="single" w:sz="4" w:space="0" w:color="auto"/>
              <w:right w:val="single" w:sz="4" w:space="0" w:color="auto"/>
            </w:tcBorders>
            <w:vAlign w:val="center"/>
          </w:tcPr>
          <w:p w:rsidR="00EE7EB9" w:rsidRDefault="00EE7EB9">
            <w:pPr>
              <w:widowControl/>
              <w:jc w:val="left"/>
              <w:textAlignment w:val="center"/>
              <w:rPr>
                <w:rFonts w:ascii="仿宋" w:eastAsia="仿宋" w:hAnsi="仿宋" w:cs="仿宋"/>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DC68A5">
            <w:pPr>
              <w:widowControl/>
              <w:textAlignment w:val="center"/>
              <w:rPr>
                <w:rFonts w:ascii="仿宋" w:eastAsia="仿宋" w:hAnsi="仿宋" w:cs="仿宋"/>
                <w:kern w:val="0"/>
                <w:sz w:val="24"/>
              </w:rPr>
            </w:pPr>
            <w:r>
              <w:rPr>
                <w:rFonts w:ascii="仿宋" w:eastAsia="仿宋" w:hAnsi="仿宋" w:cs="仿宋" w:hint="eastAsia"/>
                <w:kern w:val="0"/>
                <w:sz w:val="24"/>
              </w:rPr>
              <w:t>1.3.2 专业思政与课程思政的改革措施与实施效果（40%）</w:t>
            </w:r>
          </w:p>
        </w:tc>
        <w:tc>
          <w:tcPr>
            <w:tcW w:w="5386" w:type="dxa"/>
            <w:gridSpan w:val="2"/>
            <w:tcBorders>
              <w:top w:val="single" w:sz="4" w:space="0" w:color="auto"/>
              <w:left w:val="nil"/>
              <w:bottom w:val="single" w:sz="4" w:space="0" w:color="auto"/>
              <w:right w:val="single" w:sz="4" w:space="0" w:color="auto"/>
            </w:tcBorders>
            <w:shd w:val="clear" w:color="auto" w:fill="auto"/>
          </w:tcPr>
          <w:p w:rsidR="00592B0C" w:rsidRDefault="00592B0C" w:rsidP="00592B0C">
            <w:pPr>
              <w:widowControl/>
              <w:ind w:firstLineChars="100" w:firstLine="240"/>
              <w:textAlignment w:val="center"/>
              <w:rPr>
                <w:rFonts w:ascii="仿宋" w:eastAsia="仿宋" w:hAnsi="仿宋" w:cs="仿宋"/>
                <w:kern w:val="0"/>
                <w:sz w:val="24"/>
              </w:rPr>
            </w:pPr>
          </w:p>
          <w:p w:rsidR="00EE7EB9" w:rsidRDefault="00F217FA" w:rsidP="00592B0C">
            <w:pPr>
              <w:widowControl/>
              <w:ind w:firstLineChars="100" w:firstLine="240"/>
              <w:textAlignment w:val="center"/>
              <w:rPr>
                <w:rFonts w:ascii="仿宋" w:eastAsia="仿宋" w:hAnsi="仿宋" w:cs="仿宋"/>
                <w:kern w:val="0"/>
                <w:sz w:val="24"/>
              </w:rPr>
            </w:pPr>
            <w:r>
              <w:rPr>
                <w:rFonts w:ascii="仿宋" w:eastAsia="仿宋" w:hAnsi="仿宋" w:cs="仿宋" w:hint="eastAsia"/>
                <w:kern w:val="0"/>
                <w:sz w:val="24"/>
              </w:rPr>
              <w:t>专业思政与课程思政的改革措施与实施效果</w:t>
            </w:r>
            <w:r w:rsidR="00592B0C">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仿宋"/>
                <w:kern w:val="0"/>
                <w:sz w:val="24"/>
              </w:rPr>
            </w:pPr>
            <w:r>
              <w:rPr>
                <w:rFonts w:ascii="仿宋" w:eastAsia="仿宋" w:hAnsi="仿宋" w:cs="仿宋" w:hint="eastAsia"/>
                <w:kern w:val="0"/>
                <w:sz w:val="24"/>
              </w:rPr>
              <w:t>定性</w:t>
            </w:r>
          </w:p>
        </w:tc>
      </w:tr>
      <w:tr w:rsidR="00EE7EB9" w:rsidTr="00AC0ECF">
        <w:trPr>
          <w:gridAfter w:val="1"/>
          <w:wAfter w:w="7" w:type="dxa"/>
          <w:trHeight w:val="1140"/>
        </w:trPr>
        <w:tc>
          <w:tcPr>
            <w:tcW w:w="1843" w:type="dxa"/>
            <w:vMerge w:val="restart"/>
            <w:tcBorders>
              <w:top w:val="single" w:sz="4" w:space="0" w:color="auto"/>
              <w:left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2. 教学资源（35%）</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2.1 专业师资基本情况（30%）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2.1.1 专业生师比（35%）</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护理专业教师指从事护理学本科教学工作的教师，包括护理专业的专任教师和护理专业的兼任教师；护理专业的专任教师指人事关系在护理学院，且从事护理学本科教学工作的教师；护理专业的兼任教师指人事关系在直属附属医院，且从事护理学本科教学工作的教师；对于有硕士生、博士生培养资质的院校，将硕士生和博士生分别按照1.5和3的比例折算成本科生数，然后计算专业生师比。</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675"/>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2.1.2 博士学位教师比例（25%）</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专业教师中具有博士学位教师所占比例</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645"/>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2.1.3 高层次教师情况（20%）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高层次教师指院士、教育部“长江学者奖励支持计划”人选、国家杰出青年基金获得者、国务院及省级学科评议组成员、973首席科学家、海外高层次人才引进计划（千人计划）、国家高层次人才特殊支持计划、新世纪百千万人才工程国家级人选、</w:t>
            </w:r>
            <w:r>
              <w:rPr>
                <w:rFonts w:ascii="仿宋" w:eastAsia="仿宋" w:hAnsi="仿宋" w:cs="宋体" w:hint="eastAsia"/>
                <w:kern w:val="0"/>
                <w:sz w:val="24"/>
              </w:rPr>
              <w:lastRenderedPageBreak/>
              <w:t>教育部新世纪优秀人才支持计划人选、省百千万人才工程计划（百人层次）、中科院“百人计划”人选、国家及省级教学名师、国务院政府特殊津贴获得者、全国及省优秀教师、省优秀专家、辽宁“高等学校重点学科领军人才海内外引进计划”人选、辽宁“高等学校攀登学者支持计划”人选、辽宁“特聘教授支持计划”人选、辽宁省高校优秀人才支持计划、辽宁省高校创新团队和创新人才、国家及省黄大年式教师团队、兴辽英才计划。</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lastRenderedPageBreak/>
              <w:t>定量</w:t>
            </w:r>
          </w:p>
        </w:tc>
      </w:tr>
      <w:tr w:rsidR="00EE7EB9" w:rsidTr="00AC0ECF">
        <w:trPr>
          <w:gridAfter w:val="1"/>
          <w:wAfter w:w="7" w:type="dxa"/>
          <w:trHeight w:val="563"/>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left w:val="single" w:sz="4" w:space="0" w:color="auto"/>
              <w:right w:val="single" w:sz="4" w:space="0" w:color="auto"/>
            </w:tcBorders>
            <w:shd w:val="clear" w:color="auto" w:fill="auto"/>
            <w:vAlign w:val="center"/>
          </w:tcPr>
          <w:p w:rsidR="00EE7EB9" w:rsidRDefault="00EE7EB9">
            <w:pPr>
              <w:widowControl/>
              <w:jc w:val="left"/>
              <w:rPr>
                <w:rFonts w:ascii="仿宋" w:eastAsia="仿宋" w:hAnsi="仿宋" w:cs="宋体"/>
                <w:kern w:val="0"/>
                <w:sz w:val="24"/>
              </w:rPr>
            </w:pPr>
          </w:p>
        </w:tc>
        <w:tc>
          <w:tcPr>
            <w:tcW w:w="1276" w:type="dxa"/>
            <w:vMerge w:val="restart"/>
            <w:tcBorders>
              <w:top w:val="single" w:sz="4" w:space="0" w:color="auto"/>
              <w:left w:val="nil"/>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2.1.4 近四年本专业高级职称教师为本专业本科生授课情况（20%）</w:t>
            </w:r>
          </w:p>
        </w:tc>
        <w:tc>
          <w:tcPr>
            <w:tcW w:w="3260"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1.近四年本专业教授为本专业本科生授课的授课率（40%）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b/>
                <w:bCs/>
                <w:color w:val="FF0000"/>
                <w:kern w:val="0"/>
                <w:sz w:val="24"/>
              </w:rPr>
            </w:pPr>
            <w:r>
              <w:rPr>
                <w:rFonts w:ascii="仿宋" w:eastAsia="仿宋" w:hAnsi="仿宋" w:cs="宋体" w:hint="eastAsia"/>
                <w:kern w:val="0"/>
                <w:sz w:val="24"/>
              </w:rPr>
              <w:t>教授授课主要是指教授讲授理论课，指导实践教学环节不计算在内，无教授的专业按副教授为本专业本科生授课的授课率统计</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563"/>
        </w:trPr>
        <w:tc>
          <w:tcPr>
            <w:tcW w:w="1843" w:type="dxa"/>
            <w:vMerge/>
            <w:tcBorders>
              <w:left w:val="single" w:sz="4" w:space="0" w:color="auto"/>
              <w:right w:val="single" w:sz="4" w:space="0" w:color="auto"/>
            </w:tcBorders>
            <w:vAlign w:val="center"/>
          </w:tcPr>
          <w:p w:rsidR="00EE7EB9" w:rsidRDefault="00EE7EB9">
            <w:pPr>
              <w:widowControl/>
              <w:jc w:val="left"/>
            </w:pPr>
          </w:p>
        </w:tc>
        <w:tc>
          <w:tcPr>
            <w:tcW w:w="1985" w:type="dxa"/>
            <w:vMerge/>
            <w:tcBorders>
              <w:left w:val="single" w:sz="4" w:space="0" w:color="auto"/>
              <w:bottom w:val="single" w:sz="4" w:space="0" w:color="auto"/>
              <w:right w:val="single" w:sz="4" w:space="0" w:color="auto"/>
            </w:tcBorders>
            <w:shd w:val="clear" w:color="auto" w:fill="auto"/>
            <w:vAlign w:val="center"/>
          </w:tcPr>
          <w:p w:rsidR="00EE7EB9" w:rsidRDefault="00EE7EB9">
            <w:pPr>
              <w:widowControl/>
              <w:jc w:val="left"/>
            </w:pPr>
          </w:p>
        </w:tc>
        <w:tc>
          <w:tcPr>
            <w:tcW w:w="1276" w:type="dxa"/>
            <w:vMerge/>
            <w:tcBorders>
              <w:left w:val="nil"/>
              <w:bottom w:val="single" w:sz="4" w:space="0" w:color="auto"/>
              <w:right w:val="single" w:sz="4" w:space="0" w:color="auto"/>
            </w:tcBorders>
            <w:shd w:val="clear" w:color="auto" w:fill="auto"/>
            <w:vAlign w:val="center"/>
          </w:tcPr>
          <w:p w:rsidR="00EE7EB9" w:rsidRDefault="00EE7EB9">
            <w:pPr>
              <w:widowControl/>
              <w:jc w:val="left"/>
            </w:pPr>
          </w:p>
        </w:tc>
        <w:tc>
          <w:tcPr>
            <w:tcW w:w="3260"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2.近四年由本专业高级职称教师承担的专业课（含专业基础课）的比例（60%）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专业课主要是指理论课，而实践教学环节不计算在内，高级职称教师指具有副高级（含副高级）以上职称的护理专业教师（教授、副教授、主任护师、副主任护师）</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2057"/>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2.2 专业教师科研情况（20%）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2.2.1 近四年专业教师发表学术论文情况（20篇代表论文他引次数总和）（40%）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学术论文指以第一署名单位发表的护理专业领域内的学术论文；国内学术论文“他引次数”以CNKI（中国知网学术期刊网络总库）、CSSCI与CSCD源期刊并集库（含扩展库）中的“他引次数”为准，自引不能计算在内；国外学术论文以“Web of Science库（含扩展库）”中的“他引次数”为准</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428"/>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2.2.2 近四年专业教师获得省部级以上科研奖励情况（30%）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科研奖励指获得国家自然科学奖、技术发明奖、科技进步奖、教育部高校科研成果奖（科学技术、人文社科）；省政府自然科学奖、技术发明奖、科</w:t>
            </w:r>
            <w:r>
              <w:rPr>
                <w:rFonts w:ascii="仿宋" w:eastAsia="仿宋" w:hAnsi="仿宋" w:cs="宋体" w:hint="eastAsia"/>
                <w:kern w:val="0"/>
                <w:sz w:val="24"/>
              </w:rPr>
              <w:lastRenderedPageBreak/>
              <w:t>技进步奖、哲学社科奖；中华护理学会及其所属专业委员会科技奖励</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lastRenderedPageBreak/>
              <w:t>定量</w:t>
            </w:r>
          </w:p>
        </w:tc>
      </w:tr>
      <w:tr w:rsidR="00EE7EB9" w:rsidTr="00AC0ECF">
        <w:trPr>
          <w:gridAfter w:val="1"/>
          <w:wAfter w:w="7" w:type="dxa"/>
          <w:trHeight w:val="162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2.2.3 近四年专业教师主持科研项目情况（30%）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以第一立项单位主持国家级项目（科技部项目、国家自然基金项目、国家社科基金项目）、国防/军队重要科研项目、境外合作科研项目、部委级项目、省级项目（省科技厅立项、省自然科学基金、省哲学社会科学基金）、省教育厅科研立项</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297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2.3 专业教师教研情况（20%）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2.3.1 近四年专业教师发表教研论文数量（30%）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教研论文是指以第一署名单位发表的与护理专业教学研究相关的论文；仅计算发表在以下杂志上的教研论文：《中华医学教育杂志》《中国高等医学教育》《西北医学教育》《中华医学教育探索杂志》《基础医学教育》《中医教育》《药学教育》《卫生职业教育》《继续医学教育》《中华护理教育》《浙江医学教育》《中华继续医学教育》《中国中医药现代远程教育》《中国医学教育技术》《复旦教育论坛》《医学与哲学（人文社会医学版）》《医学研究与教育》《全科医学临床与教育》《中国循证医学杂志》（篇数）</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885"/>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2.3.2 近四年专业教师参与编写护理专业教材情况（30%）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ind w:firstLineChars="100" w:firstLine="240"/>
              <w:rPr>
                <w:rFonts w:ascii="仿宋" w:eastAsia="仿宋" w:hAnsi="仿宋" w:cs="宋体"/>
                <w:kern w:val="0"/>
                <w:sz w:val="24"/>
              </w:rPr>
            </w:pPr>
            <w:r>
              <w:rPr>
                <w:rFonts w:ascii="仿宋" w:eastAsia="仿宋" w:hAnsi="仿宋" w:cs="宋体" w:hint="eastAsia"/>
                <w:kern w:val="0"/>
                <w:sz w:val="24"/>
              </w:rPr>
              <w:t>本专业教师主编的由人民卫生出版社、高等教育出版社、科学技术出版社公开出版的本专业教材</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120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2.3.3 近四年专业教师主持省级以上教研项目情况（40%）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省级以上教研项目包括：国家及省教育行政部门教改立项、国家及省教育科学规划课题、中国高教学会立项课题</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1137"/>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2.4教师活动与教师发展政策（5%）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2.4.1 提升专业教师教学能力和专业水平的政策措施（100%）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提升专业教师教学能力和专业水平的政策措施</w:t>
            </w:r>
            <w:r w:rsidR="00592B0C">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453"/>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nil"/>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2.5实验实践教学条件（20%）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2.5.1 现有教学实验仪器设备（含软件）生均值（35%）</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单价1000元以上的设备（数量）</w:t>
            </w:r>
            <w:r w:rsidR="00592B0C">
              <w:rPr>
                <w:rFonts w:ascii="仿宋" w:eastAsia="仿宋" w:hAnsi="仿宋" w:cs="宋体" w:hint="eastAsia"/>
                <w:kern w:val="0"/>
                <w:sz w:val="24"/>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453"/>
        </w:trPr>
        <w:tc>
          <w:tcPr>
            <w:tcW w:w="1843" w:type="dxa"/>
            <w:vMerge/>
            <w:tcBorders>
              <w:left w:val="single" w:sz="4" w:space="0" w:color="auto"/>
              <w:right w:val="single" w:sz="4" w:space="0" w:color="auto"/>
            </w:tcBorders>
            <w:vAlign w:val="center"/>
          </w:tcPr>
          <w:p w:rsidR="00EE7EB9" w:rsidRDefault="00EE7EB9">
            <w:pPr>
              <w:widowControl/>
              <w:jc w:val="left"/>
            </w:pPr>
          </w:p>
        </w:tc>
        <w:tc>
          <w:tcPr>
            <w:tcW w:w="1985" w:type="dxa"/>
            <w:vMerge/>
            <w:tcBorders>
              <w:left w:val="nil"/>
              <w:right w:val="single" w:sz="4" w:space="0" w:color="auto"/>
            </w:tcBorders>
            <w:shd w:val="clear" w:color="auto" w:fill="auto"/>
            <w:vAlign w:val="center"/>
          </w:tcPr>
          <w:p w:rsidR="00EE7EB9" w:rsidRDefault="00EE7EB9">
            <w:pPr>
              <w:widowControl/>
              <w:jc w:val="left"/>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2.5.2 近四年新增的教学实验仪器设备（含软件）生均值（30%）</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近四年新增的单价1000元以上设备（数量）</w:t>
            </w:r>
            <w:r w:rsidR="00592B0C">
              <w:rPr>
                <w:rFonts w:ascii="仿宋" w:eastAsia="仿宋" w:hAnsi="仿宋" w:cs="宋体" w:hint="eastAsia"/>
                <w:kern w:val="0"/>
                <w:sz w:val="24"/>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453"/>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left w:val="nil"/>
              <w:bottom w:val="single" w:sz="4" w:space="0" w:color="auto"/>
              <w:right w:val="single" w:sz="4" w:space="0" w:color="auto"/>
            </w:tcBorders>
            <w:shd w:val="clear" w:color="auto" w:fill="auto"/>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2.5.3 在校学生与病床总数比值（35%）</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病床总数=附属医院床位数（包括附属综合医院和与护理专业教学有关的附属专科医院）+承担全程临床护理教学的教学医院床位数（不包括承担部分教学的专科医院）。附属医院是医学院校的组成部分，与医学院校有隶属关系。教学医院必须符合下列条件：有由具有管辖权的政府主管部门出具的作为医学院校临床教学基地的批准文件；学校和医院双方有书面协议；有能力、有责任承担包括护理专业理论课、见习和实习在内的全程临床教学任务；有完善的临床教学规章制度、教学组织机构和教学团队等</w:t>
            </w:r>
            <w:r w:rsidR="00592B0C">
              <w:rPr>
                <w:rFonts w:ascii="仿宋" w:eastAsia="仿宋" w:hAnsi="仿宋" w:cs="宋体" w:hint="eastAsia"/>
                <w:kern w:val="0"/>
                <w:sz w:val="24"/>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675"/>
        </w:trPr>
        <w:tc>
          <w:tcPr>
            <w:tcW w:w="1843" w:type="dxa"/>
            <w:vMerge/>
            <w:tcBorders>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nil"/>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2.6图书资料（5%）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2.6.1 现有生均专业纸质图书资料册数（50%）</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本专业的图书资料（含学校与院、系）是指供本专业教学、科研使用的图书资料</w:t>
            </w:r>
            <w:r w:rsidR="00592B0C">
              <w:rPr>
                <w:rFonts w:ascii="仿宋" w:eastAsia="仿宋" w:hAnsi="仿宋" w:cs="仿宋" w:hint="eastAsia"/>
                <w:color w:val="000000"/>
                <w:kern w:val="0"/>
                <w:sz w:val="24"/>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675"/>
        </w:trPr>
        <w:tc>
          <w:tcPr>
            <w:tcW w:w="1843" w:type="dxa"/>
            <w:vMerge/>
            <w:tcBorders>
              <w:left w:val="single" w:sz="4" w:space="0" w:color="auto"/>
              <w:bottom w:val="single" w:sz="4" w:space="0" w:color="auto"/>
              <w:right w:val="single" w:sz="4" w:space="0" w:color="auto"/>
            </w:tcBorders>
            <w:vAlign w:val="center"/>
          </w:tcPr>
          <w:p w:rsidR="00EE7EB9" w:rsidRDefault="00EE7EB9">
            <w:pPr>
              <w:widowControl/>
              <w:jc w:val="left"/>
            </w:pPr>
          </w:p>
        </w:tc>
        <w:tc>
          <w:tcPr>
            <w:tcW w:w="1985" w:type="dxa"/>
            <w:vMerge/>
            <w:tcBorders>
              <w:left w:val="nil"/>
              <w:bottom w:val="single" w:sz="4" w:space="0" w:color="auto"/>
              <w:right w:val="single" w:sz="4" w:space="0" w:color="auto"/>
            </w:tcBorders>
            <w:shd w:val="clear" w:color="auto" w:fill="auto"/>
            <w:vAlign w:val="center"/>
          </w:tcPr>
          <w:p w:rsidR="00EE7EB9" w:rsidRDefault="00EE7EB9">
            <w:pPr>
              <w:widowControl/>
              <w:jc w:val="left"/>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2.6.2 现有专业电子图书资料源的个数（50%）</w:t>
            </w:r>
          </w:p>
        </w:tc>
        <w:tc>
          <w:tcPr>
            <w:tcW w:w="53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本专业的电子图书资料源（含学校与院、系）是指供本专业教学科研使用的、由资源提供方完成更新的、可全文下载的电子资源，不包括随书的资料光盘</w:t>
            </w:r>
            <w:r w:rsidR="00592B0C">
              <w:rPr>
                <w:rFonts w:ascii="仿宋" w:eastAsia="仿宋" w:hAnsi="仿宋" w:cs="仿宋" w:hint="eastAsia"/>
                <w:color w:val="000000"/>
                <w:kern w:val="0"/>
                <w:sz w:val="24"/>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569"/>
        </w:trPr>
        <w:tc>
          <w:tcPr>
            <w:tcW w:w="1843" w:type="dxa"/>
            <w:vMerge w:val="restart"/>
            <w:tcBorders>
              <w:top w:val="single" w:sz="4" w:space="0" w:color="auto"/>
              <w:left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lastRenderedPageBreak/>
              <w:t>3. 培养过程（20%）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3.1 教学大纲(10%)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3.1.1 教学大纲制定与执行情况（100%）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本专业主要专业课教学大纲的制定与执行情况</w:t>
            </w:r>
            <w:r w:rsidR="00592B0C">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735"/>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3.2课堂教学教与学模式(15%)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3.2.1课堂教学教与学模式改革与效果（100%）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92B0C">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本专业主要专业课程教与学模式改革方案设计、执行情况及实施效果</w:t>
            </w:r>
            <w:r w:rsidR="00592B0C">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69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3.3实践教学教与学模式(15%)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3.3.1实践教学教与学模式改革与效果（100%）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本专业时间实践教学环节教与学模式改革方案设计、执行情况及实施效果</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570"/>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3.4课堂教学学业评价(15%)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3.4.1课堂教学学业评价方式改革与实施情况（100%）</w:t>
            </w:r>
          </w:p>
        </w:tc>
        <w:tc>
          <w:tcPr>
            <w:tcW w:w="5386" w:type="dxa"/>
            <w:gridSpan w:val="2"/>
            <w:tcBorders>
              <w:top w:val="single" w:sz="4" w:space="0" w:color="auto"/>
              <w:left w:val="nil"/>
              <w:bottom w:val="single" w:sz="4" w:space="0" w:color="auto"/>
              <w:right w:val="single" w:sz="4" w:space="0" w:color="auto"/>
            </w:tcBorders>
            <w:shd w:val="clear" w:color="000000" w:fill="FFFFFF"/>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宋体" w:hint="eastAsia"/>
                <w:kern w:val="0"/>
                <w:sz w:val="24"/>
              </w:rPr>
              <w:t>本专业课堂教学的学业评价方式、执行情况及实施效果</w:t>
            </w:r>
            <w:r w:rsidR="00535E05">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855"/>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3.5实践教学学业评价(15%)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3.5.1实践教学学业评价方式改革与实施情况（100%）</w:t>
            </w:r>
          </w:p>
        </w:tc>
        <w:tc>
          <w:tcPr>
            <w:tcW w:w="5386" w:type="dxa"/>
            <w:gridSpan w:val="2"/>
            <w:tcBorders>
              <w:top w:val="single" w:sz="4" w:space="0" w:color="auto"/>
              <w:left w:val="nil"/>
              <w:bottom w:val="single" w:sz="4" w:space="0" w:color="auto"/>
              <w:right w:val="single" w:sz="4" w:space="0" w:color="auto"/>
            </w:tcBorders>
            <w:shd w:val="clear" w:color="000000" w:fill="FFFFFF"/>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kern w:val="0"/>
                <w:sz w:val="24"/>
              </w:rPr>
              <w:t>实践教学环节的学业评价方式、执行情况及实施效果</w:t>
            </w:r>
            <w:r w:rsidR="00535E05">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定性</w:t>
            </w:r>
          </w:p>
        </w:tc>
      </w:tr>
      <w:tr w:rsidR="00EE7EB9" w:rsidTr="00AC0ECF">
        <w:trPr>
          <w:gridAfter w:val="1"/>
          <w:wAfter w:w="7" w:type="dxa"/>
          <w:trHeight w:val="711"/>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left w:val="single" w:sz="4" w:space="0" w:color="auto"/>
              <w:bottom w:val="single" w:sz="4" w:space="0" w:color="auto"/>
              <w:right w:val="single" w:sz="4" w:space="0" w:color="auto"/>
            </w:tcBorders>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3.6教育交流（10%）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3.6.1 境外交流生情况（100%）</w:t>
            </w:r>
          </w:p>
        </w:tc>
        <w:tc>
          <w:tcPr>
            <w:tcW w:w="5386" w:type="dxa"/>
            <w:gridSpan w:val="2"/>
            <w:tcBorders>
              <w:top w:val="single" w:sz="4" w:space="0" w:color="auto"/>
              <w:left w:val="nil"/>
              <w:bottom w:val="single" w:sz="4" w:space="0" w:color="auto"/>
              <w:right w:val="single" w:sz="4" w:space="0" w:color="auto"/>
            </w:tcBorders>
            <w:shd w:val="clear" w:color="auto" w:fill="auto"/>
            <w:noWrap/>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本专业到境外（含港澳台）高校进行交流学习的学生占本专业学生总数的比例</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定量</w:t>
            </w:r>
          </w:p>
        </w:tc>
      </w:tr>
      <w:tr w:rsidR="00EE7EB9" w:rsidTr="00AC0ECF">
        <w:trPr>
          <w:gridAfter w:val="1"/>
          <w:wAfter w:w="7" w:type="dxa"/>
          <w:trHeight w:val="729"/>
        </w:trPr>
        <w:tc>
          <w:tcPr>
            <w:tcW w:w="1843" w:type="dxa"/>
            <w:vMerge/>
            <w:tcBorders>
              <w:left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val="restart"/>
            <w:tcBorders>
              <w:top w:val="single" w:sz="4" w:space="0" w:color="auto"/>
              <w:left w:val="single" w:sz="4" w:space="0" w:color="auto"/>
              <w:right w:val="single" w:sz="4" w:space="0" w:color="auto"/>
            </w:tcBorders>
            <w:vAlign w:val="center"/>
          </w:tcPr>
          <w:p w:rsidR="00EE7EB9" w:rsidRDefault="00F217FA">
            <w:pPr>
              <w:widowControl/>
              <w:jc w:val="left"/>
              <w:rPr>
                <w:rFonts w:ascii="仿宋" w:eastAsia="仿宋" w:hAnsi="仿宋" w:cs="宋体"/>
                <w:b/>
                <w:bCs/>
                <w:color w:val="FF0000"/>
                <w:kern w:val="0"/>
                <w:sz w:val="24"/>
              </w:rPr>
            </w:pPr>
            <w:r>
              <w:rPr>
                <w:rFonts w:ascii="仿宋" w:eastAsia="仿宋" w:hAnsi="仿宋" w:cs="宋体" w:hint="eastAsia"/>
                <w:kern w:val="0"/>
                <w:sz w:val="24"/>
              </w:rPr>
              <w:t>3.7 学生发展（20%）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3.7.1 学生指导与服务（50%）</w:t>
            </w:r>
          </w:p>
        </w:tc>
        <w:tc>
          <w:tcPr>
            <w:tcW w:w="5386" w:type="dxa"/>
            <w:gridSpan w:val="2"/>
            <w:tcBorders>
              <w:top w:val="single" w:sz="4" w:space="0" w:color="auto"/>
              <w:left w:val="nil"/>
              <w:bottom w:val="single" w:sz="4" w:space="0" w:color="auto"/>
              <w:right w:val="single" w:sz="4" w:space="0" w:color="auto"/>
            </w:tcBorders>
            <w:shd w:val="clear" w:color="auto" w:fill="auto"/>
            <w:noWrap/>
            <w:vAlign w:val="center"/>
          </w:tcPr>
          <w:p w:rsidR="00EE7EB9" w:rsidRDefault="00F217FA" w:rsidP="00535E05">
            <w:pPr>
              <w:widowControl/>
              <w:ind w:firstLineChars="100" w:firstLine="240"/>
              <w:jc w:val="left"/>
              <w:textAlignment w:val="center"/>
              <w:rPr>
                <w:rFonts w:ascii="仿宋" w:eastAsia="仿宋" w:hAnsi="仿宋" w:cs="宋体"/>
                <w:b/>
                <w:bCs/>
                <w:color w:val="FF0000"/>
                <w:kern w:val="0"/>
                <w:sz w:val="24"/>
              </w:rPr>
            </w:pPr>
            <w:r>
              <w:rPr>
                <w:rFonts w:ascii="仿宋" w:eastAsia="仿宋" w:hAnsi="仿宋" w:cs="仿宋" w:hint="eastAsia"/>
                <w:kern w:val="0"/>
                <w:sz w:val="24"/>
              </w:rPr>
              <w:t>专业教师在日常工作中指导和帮助学生成长成才情况</w:t>
            </w:r>
            <w:r w:rsidR="00535E05">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EE7EB9" w:rsidTr="00AC0ECF">
        <w:trPr>
          <w:gridAfter w:val="1"/>
          <w:wAfter w:w="7" w:type="dxa"/>
          <w:trHeight w:val="711"/>
        </w:trPr>
        <w:tc>
          <w:tcPr>
            <w:tcW w:w="1843" w:type="dxa"/>
            <w:vMerge/>
            <w:tcBorders>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b/>
                <w:bCs/>
                <w:color w:val="FF0000"/>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3.7.2 创新创业教育情况（50%）</w:t>
            </w:r>
          </w:p>
        </w:tc>
        <w:tc>
          <w:tcPr>
            <w:tcW w:w="5386" w:type="dxa"/>
            <w:gridSpan w:val="2"/>
            <w:tcBorders>
              <w:top w:val="single" w:sz="4" w:space="0" w:color="auto"/>
              <w:left w:val="nil"/>
              <w:bottom w:val="single" w:sz="4" w:space="0" w:color="auto"/>
              <w:right w:val="single" w:sz="4" w:space="0" w:color="auto"/>
            </w:tcBorders>
            <w:shd w:val="clear" w:color="auto" w:fill="auto"/>
            <w:noWrap/>
            <w:vAlign w:val="center"/>
          </w:tcPr>
          <w:p w:rsidR="00EE7EB9" w:rsidRDefault="00F217FA" w:rsidP="00535E05">
            <w:pPr>
              <w:widowControl/>
              <w:ind w:firstLineChars="100" w:firstLine="240"/>
              <w:jc w:val="left"/>
              <w:textAlignment w:val="center"/>
              <w:rPr>
                <w:rFonts w:ascii="仿宋" w:eastAsia="仿宋" w:hAnsi="仿宋" w:cs="宋体"/>
                <w:b/>
                <w:bCs/>
                <w:color w:val="FF0000"/>
                <w:kern w:val="0"/>
                <w:sz w:val="24"/>
              </w:rPr>
            </w:pPr>
            <w:r>
              <w:rPr>
                <w:rFonts w:ascii="仿宋" w:eastAsia="仿宋" w:hAnsi="仿宋" w:cs="仿宋" w:hint="eastAsia"/>
                <w:kern w:val="0"/>
                <w:sz w:val="24"/>
              </w:rPr>
              <w:t>创业教育与专业教育相融合情况；学生参与创新创业的途径、覆盖面等；为学生创造参与研究或项目开发设计的措施与效果</w:t>
            </w:r>
            <w:r w:rsidR="00535E05">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EE7EB9" w:rsidTr="00AC0ECF">
        <w:trPr>
          <w:gridAfter w:val="1"/>
          <w:wAfter w:w="7" w:type="dxa"/>
          <w:trHeight w:val="1860"/>
        </w:trPr>
        <w:tc>
          <w:tcPr>
            <w:tcW w:w="1843" w:type="dxa"/>
            <w:vMerge w:val="restart"/>
            <w:tcBorders>
              <w:top w:val="single" w:sz="4" w:space="0" w:color="auto"/>
              <w:left w:val="single" w:sz="4" w:space="0" w:color="auto"/>
              <w:right w:val="single" w:sz="4" w:space="0" w:color="auto"/>
            </w:tcBorders>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4.本科教学工程及教学成果奖（10%）</w:t>
            </w: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4.1 本科教学工程项目（50%）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4.1.1 专业拥有的国家级、省级本科教学项目情况（100%）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Pr="00F54411" w:rsidRDefault="00BC2291" w:rsidP="00535E05">
            <w:pPr>
              <w:ind w:firstLineChars="100" w:firstLine="240"/>
              <w:rPr>
                <w:rFonts w:ascii="仿宋" w:eastAsia="仿宋" w:hAnsi="仿宋" w:cs="仿宋"/>
                <w:kern w:val="0"/>
                <w:sz w:val="24"/>
              </w:rPr>
            </w:pPr>
            <w:r w:rsidRPr="00BC2291">
              <w:rPr>
                <w:rFonts w:ascii="仿宋" w:eastAsia="仿宋" w:hAnsi="仿宋" w:cs="仿宋" w:hint="eastAsia"/>
                <w:kern w:val="0"/>
                <w:sz w:val="24"/>
              </w:rPr>
              <w:t>省级以上本科教学工程项目包括示范专业、特色专业、紧缺人才培养基地、人才培养模式创新实验区、教学团队、专业带头人、精品课程、双语示范课程、综合改革试点专业、工程人才培养模式改革试点专业、</w:t>
            </w:r>
            <w:r w:rsidRPr="00BC2291">
              <w:rPr>
                <w:rFonts w:ascii="仿宋" w:eastAsia="仿宋" w:hAnsi="仿宋" w:cs="仿宋"/>
                <w:kern w:val="0"/>
                <w:sz w:val="24"/>
              </w:rPr>
              <w:t>创新创业教育改革试点专业</w:t>
            </w:r>
            <w:r w:rsidRPr="00BC2291">
              <w:rPr>
                <w:rFonts w:ascii="仿宋" w:eastAsia="仿宋" w:hAnsi="仿宋" w:cs="仿宋" w:hint="eastAsia"/>
                <w:kern w:val="0"/>
                <w:sz w:val="24"/>
              </w:rPr>
              <w:t>、</w:t>
            </w:r>
            <w:r w:rsidRPr="00BC2291">
              <w:rPr>
                <w:rFonts w:ascii="仿宋" w:eastAsia="仿宋" w:hAnsi="仿宋" w:cs="仿宋"/>
                <w:kern w:val="0"/>
                <w:sz w:val="24"/>
              </w:rPr>
              <w:t>课程体系国际化试点专业</w:t>
            </w:r>
            <w:r w:rsidRPr="00BC2291">
              <w:rPr>
                <w:rFonts w:ascii="仿宋" w:eastAsia="仿宋" w:hAnsi="仿宋" w:cs="仿宋" w:hint="eastAsia"/>
                <w:kern w:val="0"/>
                <w:sz w:val="24"/>
              </w:rPr>
              <w:t>、重点支持专业、优势特色专业、向应用型转变示范专业、国家一流本科专业建设</w:t>
            </w:r>
            <w:r w:rsidRPr="00BC2291">
              <w:rPr>
                <w:rFonts w:ascii="仿宋" w:eastAsia="仿宋" w:hAnsi="仿宋" w:cs="仿宋" w:hint="eastAsia"/>
                <w:kern w:val="0"/>
                <w:sz w:val="24"/>
              </w:rPr>
              <w:lastRenderedPageBreak/>
              <w:t>点、省一流本科教育示范专业、大学生校外实践教育基地、工程实践教育中心、</w:t>
            </w:r>
            <w:r w:rsidRPr="00BC2291">
              <w:rPr>
                <w:rFonts w:ascii="仿宋" w:eastAsia="仿宋" w:hAnsi="仿宋" w:cs="仿宋"/>
                <w:kern w:val="0"/>
                <w:sz w:val="24"/>
              </w:rPr>
              <w:t>创新创业教育实践基地</w:t>
            </w:r>
            <w:r w:rsidRPr="00BC2291">
              <w:rPr>
                <w:rFonts w:ascii="仿宋" w:eastAsia="仿宋" w:hAnsi="仿宋" w:cs="仿宋" w:hint="eastAsia"/>
                <w:kern w:val="0"/>
                <w:sz w:val="24"/>
              </w:rPr>
              <w:t>、实验教学示范中心、虚拟仿真实验教学中心、虚拟仿真实验教学项目、精品在线开放课程、精品视频公开课、精品资源共享课、立体化教材、精品教材。</w:t>
            </w:r>
            <w:bookmarkStart w:id="0" w:name="_GoBack"/>
            <w:bookmarkEnd w:id="0"/>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lastRenderedPageBreak/>
              <w:t>定量</w:t>
            </w:r>
          </w:p>
        </w:tc>
      </w:tr>
      <w:tr w:rsidR="00EE7EB9" w:rsidTr="00AC0ECF">
        <w:trPr>
          <w:gridAfter w:val="1"/>
          <w:wAfter w:w="7" w:type="dxa"/>
          <w:trHeight w:val="1065"/>
        </w:trPr>
        <w:tc>
          <w:tcPr>
            <w:tcW w:w="1843" w:type="dxa"/>
            <w:vMerge/>
            <w:tcBorders>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4.2 历年省级以上教学成果奖（50%）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rPr>
                <w:rFonts w:ascii="仿宋" w:eastAsia="仿宋" w:hAnsi="仿宋" w:cs="宋体"/>
                <w:kern w:val="0"/>
                <w:sz w:val="24"/>
              </w:rPr>
            </w:pPr>
            <w:r>
              <w:rPr>
                <w:rFonts w:ascii="仿宋" w:eastAsia="仿宋" w:hAnsi="仿宋" w:cs="宋体" w:hint="eastAsia"/>
                <w:kern w:val="0"/>
                <w:sz w:val="24"/>
              </w:rPr>
              <w:t>4.4.1 历年获得省级以上教学成果奖情况（100%）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rPr>
                <w:rFonts w:ascii="仿宋" w:eastAsia="仿宋" w:hAnsi="仿宋" w:cs="宋体"/>
                <w:kern w:val="0"/>
                <w:sz w:val="24"/>
              </w:rPr>
            </w:pPr>
            <w:r>
              <w:rPr>
                <w:rFonts w:ascii="仿宋" w:eastAsia="仿宋" w:hAnsi="仿宋" w:cs="宋体" w:hint="eastAsia"/>
                <w:kern w:val="0"/>
                <w:sz w:val="24"/>
              </w:rPr>
              <w:t>本专业教师参与完成的省级以上（含省级）教学成果奖</w:t>
            </w:r>
            <w:r w:rsidR="00535E05">
              <w:rPr>
                <w:rFonts w:ascii="仿宋" w:eastAsia="仿宋" w:hAnsi="仿宋" w:cs="宋体"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定量</w:t>
            </w:r>
          </w:p>
        </w:tc>
      </w:tr>
      <w:tr w:rsidR="00EE7EB9" w:rsidTr="00AC0ECF">
        <w:trPr>
          <w:gridAfter w:val="1"/>
          <w:wAfter w:w="7" w:type="dxa"/>
          <w:trHeight w:val="990"/>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center"/>
              <w:rPr>
                <w:rFonts w:ascii="仿宋" w:eastAsia="仿宋" w:hAnsi="仿宋" w:cs="宋体"/>
                <w:kern w:val="0"/>
                <w:sz w:val="24"/>
              </w:rPr>
            </w:pPr>
            <w:r>
              <w:rPr>
                <w:rFonts w:ascii="仿宋" w:eastAsia="仿宋" w:hAnsi="仿宋" w:cs="宋体" w:hint="eastAsia"/>
                <w:kern w:val="0"/>
                <w:sz w:val="24"/>
              </w:rPr>
              <w:t>5. 教学质量保障（10%）</w:t>
            </w: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5.1 培养方案质量保障（20%）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5.1.1 培养方案质量保障措施（100%）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执行学校对培养方案制订与执行的各项政策与措施的情况</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EE7EB9" w:rsidTr="00AC0ECF">
        <w:trPr>
          <w:gridAfter w:val="1"/>
          <w:wAfter w:w="7" w:type="dxa"/>
          <w:trHeight w:val="990"/>
        </w:trPr>
        <w:tc>
          <w:tcPr>
            <w:tcW w:w="1843"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5.2 课程质量保障（60%）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5.2.1 理论课、实验课、临床实践课质量保障体系（100%）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kern w:val="0"/>
                <w:sz w:val="24"/>
              </w:rPr>
              <w:t>理论课、实验课及临床实践课程质量保障体系的各项措施及覆盖面；对学生学习情况的评价；各项措施的闭环情况；持续改进措施和效果</w:t>
            </w:r>
            <w:r w:rsidR="00535E05">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EE7EB9" w:rsidTr="00AC0ECF">
        <w:trPr>
          <w:gridAfter w:val="1"/>
          <w:wAfter w:w="7" w:type="dxa"/>
          <w:trHeight w:val="990"/>
        </w:trPr>
        <w:tc>
          <w:tcPr>
            <w:tcW w:w="1843"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kern w:val="0"/>
                <w:sz w:val="24"/>
              </w:rPr>
              <w:t>5.3 社会对人才培养的质量保障（20%）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5.3.1 社会对人才培养的质量保障（100%）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社会对人才培养的质量保障措施及质量保障的效果</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0F6B79" w:rsidTr="005532D1">
        <w:trPr>
          <w:gridAfter w:val="1"/>
          <w:wAfter w:w="7" w:type="dxa"/>
          <w:trHeight w:val="683"/>
        </w:trPr>
        <w:tc>
          <w:tcPr>
            <w:tcW w:w="1843" w:type="dxa"/>
            <w:vMerge w:val="restart"/>
            <w:tcBorders>
              <w:top w:val="single" w:sz="4" w:space="0" w:color="auto"/>
              <w:left w:val="single" w:sz="4" w:space="0" w:color="auto"/>
              <w:right w:val="single" w:sz="4" w:space="0" w:color="auto"/>
            </w:tcBorders>
            <w:shd w:val="clear" w:color="auto" w:fill="auto"/>
            <w:vAlign w:val="center"/>
          </w:tcPr>
          <w:p w:rsidR="000F6B79" w:rsidRDefault="000F6B79">
            <w:pPr>
              <w:widowControl/>
              <w:jc w:val="center"/>
              <w:rPr>
                <w:rFonts w:ascii="仿宋" w:eastAsia="仿宋" w:hAnsi="仿宋" w:cs="宋体"/>
                <w:kern w:val="0"/>
                <w:sz w:val="24"/>
              </w:rPr>
            </w:pPr>
            <w:r>
              <w:rPr>
                <w:rFonts w:ascii="仿宋" w:eastAsia="仿宋" w:hAnsi="仿宋" w:cs="宋体" w:hint="eastAsia"/>
                <w:kern w:val="0"/>
                <w:sz w:val="24"/>
              </w:rPr>
              <w:t>6. 培养效果与声望（15%）</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0F6B79" w:rsidRDefault="000F6B79">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6.1 就业情况与培养效果（35%）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0F6B79" w:rsidRDefault="000F6B79">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 xml:space="preserve">6.1.1 </w:t>
            </w:r>
            <w:r>
              <w:rPr>
                <w:rFonts w:ascii="仿宋" w:eastAsia="仿宋" w:hAnsi="仿宋" w:cs="仿宋" w:hint="eastAsia"/>
                <w:kern w:val="0"/>
                <w:sz w:val="24"/>
              </w:rPr>
              <w:t>近四年就</w:t>
            </w:r>
            <w:r>
              <w:rPr>
                <w:rFonts w:ascii="仿宋" w:eastAsia="仿宋" w:hAnsi="仿宋" w:cs="仿宋" w:hint="eastAsia"/>
                <w:color w:val="000000"/>
                <w:kern w:val="0"/>
                <w:sz w:val="24"/>
              </w:rPr>
              <w:t>业率情况</w:t>
            </w:r>
            <w:r>
              <w:rPr>
                <w:rFonts w:ascii="仿宋" w:eastAsia="仿宋" w:hAnsi="仿宋" w:cs="仿宋" w:hint="eastAsia"/>
                <w:kern w:val="0"/>
                <w:sz w:val="24"/>
              </w:rPr>
              <w:t>（50%）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0F6B79" w:rsidRDefault="000F6B79"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近</w:t>
            </w:r>
            <w:r>
              <w:rPr>
                <w:rFonts w:ascii="仿宋" w:eastAsia="仿宋" w:hAnsi="仿宋" w:cs="仿宋" w:hint="eastAsia"/>
                <w:kern w:val="0"/>
                <w:sz w:val="24"/>
              </w:rPr>
              <w:t>四年本专业</w:t>
            </w:r>
            <w:r>
              <w:rPr>
                <w:rFonts w:ascii="仿宋" w:eastAsia="仿宋" w:hAnsi="仿宋" w:cs="仿宋" w:hint="eastAsia"/>
                <w:color w:val="000000"/>
                <w:kern w:val="0"/>
                <w:sz w:val="24"/>
              </w:rPr>
              <w:t>毕业生年终就业率、灵活就业率。</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0F6B79" w:rsidRDefault="000F6B79">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定量</w:t>
            </w:r>
          </w:p>
        </w:tc>
      </w:tr>
      <w:tr w:rsidR="000F6B79" w:rsidTr="00D57CCB">
        <w:trPr>
          <w:gridAfter w:val="1"/>
          <w:wAfter w:w="7" w:type="dxa"/>
          <w:trHeight w:val="651"/>
        </w:trPr>
        <w:tc>
          <w:tcPr>
            <w:tcW w:w="1843" w:type="dxa"/>
            <w:vMerge/>
            <w:tcBorders>
              <w:left w:val="single" w:sz="4" w:space="0" w:color="auto"/>
              <w:right w:val="single" w:sz="4" w:space="0" w:color="auto"/>
            </w:tcBorders>
            <w:vAlign w:val="center"/>
          </w:tcPr>
          <w:p w:rsidR="000F6B79" w:rsidRDefault="000F6B79">
            <w:pPr>
              <w:widowControl/>
              <w:jc w:val="left"/>
              <w:rPr>
                <w:rFonts w:ascii="仿宋" w:eastAsia="仿宋" w:hAnsi="仿宋" w:cs="宋体"/>
                <w:kern w:val="0"/>
                <w:sz w:val="24"/>
              </w:rPr>
            </w:pPr>
          </w:p>
        </w:tc>
        <w:tc>
          <w:tcPr>
            <w:tcW w:w="1985" w:type="dxa"/>
            <w:vMerge/>
            <w:tcBorders>
              <w:left w:val="single" w:sz="4" w:space="0" w:color="auto"/>
              <w:right w:val="single" w:sz="4" w:space="0" w:color="auto"/>
            </w:tcBorders>
            <w:vAlign w:val="center"/>
          </w:tcPr>
          <w:p w:rsidR="000F6B79" w:rsidRDefault="000F6B79">
            <w:pPr>
              <w:widowControl/>
              <w:jc w:val="left"/>
              <w:rPr>
                <w:rFonts w:ascii="仿宋" w:eastAsia="仿宋" w:hAnsi="仿宋" w:cs="宋体"/>
                <w:kern w:val="0"/>
                <w:sz w:val="24"/>
              </w:rPr>
            </w:pPr>
          </w:p>
        </w:tc>
        <w:tc>
          <w:tcPr>
            <w:tcW w:w="4536" w:type="dxa"/>
            <w:gridSpan w:val="2"/>
            <w:tcBorders>
              <w:top w:val="single" w:sz="4" w:space="0" w:color="auto"/>
              <w:left w:val="nil"/>
              <w:right w:val="single" w:sz="4" w:space="0" w:color="auto"/>
            </w:tcBorders>
            <w:shd w:val="clear" w:color="auto" w:fill="auto"/>
            <w:vAlign w:val="center"/>
          </w:tcPr>
          <w:p w:rsidR="000F6B79" w:rsidRDefault="000F6B79">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6.1.2 十名优秀校友简介</w:t>
            </w:r>
            <w:r>
              <w:rPr>
                <w:rFonts w:ascii="仿宋" w:eastAsia="仿宋" w:hAnsi="仿宋" w:cs="仿宋" w:hint="eastAsia"/>
                <w:kern w:val="0"/>
                <w:sz w:val="24"/>
              </w:rPr>
              <w:t>（50%）</w:t>
            </w:r>
          </w:p>
        </w:tc>
        <w:tc>
          <w:tcPr>
            <w:tcW w:w="5386" w:type="dxa"/>
            <w:gridSpan w:val="2"/>
            <w:tcBorders>
              <w:top w:val="single" w:sz="4" w:space="0" w:color="auto"/>
              <w:left w:val="nil"/>
              <w:right w:val="single" w:sz="4" w:space="0" w:color="auto"/>
            </w:tcBorders>
            <w:shd w:val="clear" w:color="auto" w:fill="auto"/>
            <w:vAlign w:val="center"/>
          </w:tcPr>
          <w:p w:rsidR="000F6B79" w:rsidRDefault="000F6B79"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校友</w:t>
            </w:r>
            <w:r>
              <w:rPr>
                <w:rFonts w:ascii="仿宋" w:eastAsia="仿宋" w:hAnsi="仿宋" w:cs="仿宋" w:hint="eastAsia"/>
                <w:kern w:val="0"/>
                <w:sz w:val="24"/>
              </w:rPr>
              <w:t>指85级以后的护理学专业本</w:t>
            </w:r>
            <w:r>
              <w:rPr>
                <w:rFonts w:ascii="仿宋" w:eastAsia="仿宋" w:hAnsi="仿宋" w:cs="仿宋" w:hint="eastAsia"/>
                <w:color w:val="000000"/>
                <w:kern w:val="0"/>
                <w:sz w:val="24"/>
              </w:rPr>
              <w:t>科生。每人简介500字以内。</w:t>
            </w:r>
          </w:p>
        </w:tc>
        <w:tc>
          <w:tcPr>
            <w:tcW w:w="851" w:type="dxa"/>
            <w:gridSpan w:val="2"/>
            <w:tcBorders>
              <w:top w:val="single" w:sz="4" w:space="0" w:color="auto"/>
              <w:left w:val="nil"/>
              <w:right w:val="single" w:sz="4" w:space="0" w:color="auto"/>
            </w:tcBorders>
            <w:shd w:val="clear" w:color="auto" w:fill="auto"/>
            <w:vAlign w:val="center"/>
          </w:tcPr>
          <w:p w:rsidR="000F6B79" w:rsidRDefault="000F6B79">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D57CCB" w:rsidTr="00D57CCB">
        <w:trPr>
          <w:gridAfter w:val="1"/>
          <w:wAfter w:w="7" w:type="dxa"/>
        </w:trPr>
        <w:tc>
          <w:tcPr>
            <w:tcW w:w="1843" w:type="dxa"/>
            <w:vMerge/>
            <w:tcBorders>
              <w:left w:val="single" w:sz="4" w:space="0" w:color="auto"/>
              <w:bottom w:val="single" w:sz="4" w:space="0" w:color="auto"/>
              <w:right w:val="single" w:sz="4" w:space="0" w:color="auto"/>
            </w:tcBorders>
            <w:vAlign w:val="center"/>
          </w:tcPr>
          <w:p w:rsidR="00D57CCB" w:rsidRDefault="00D57CCB">
            <w:pPr>
              <w:widowControl/>
              <w:jc w:val="left"/>
              <w:rPr>
                <w:rFonts w:ascii="仿宋" w:eastAsia="仿宋" w:hAnsi="仿宋" w:cs="宋体"/>
                <w:kern w:val="0"/>
                <w:sz w:val="24"/>
              </w:rPr>
            </w:pPr>
          </w:p>
        </w:tc>
        <w:tc>
          <w:tcPr>
            <w:tcW w:w="1985" w:type="dxa"/>
            <w:vMerge/>
            <w:tcBorders>
              <w:left w:val="single" w:sz="4" w:space="0" w:color="auto"/>
              <w:bottom w:val="single" w:sz="4" w:space="0" w:color="auto"/>
              <w:right w:val="single" w:sz="4" w:space="0" w:color="auto"/>
            </w:tcBorders>
            <w:vAlign w:val="center"/>
          </w:tcPr>
          <w:p w:rsidR="00D57CCB" w:rsidRDefault="00D57CCB">
            <w:pPr>
              <w:widowControl/>
              <w:jc w:val="left"/>
              <w:rPr>
                <w:rFonts w:ascii="仿宋" w:eastAsia="仿宋" w:hAnsi="仿宋" w:cs="宋体"/>
                <w:kern w:val="0"/>
                <w:sz w:val="24"/>
              </w:rPr>
            </w:pPr>
          </w:p>
        </w:tc>
        <w:tc>
          <w:tcPr>
            <w:tcW w:w="4542" w:type="dxa"/>
            <w:gridSpan w:val="3"/>
            <w:tcBorders>
              <w:left w:val="nil"/>
              <w:bottom w:val="single" w:sz="4" w:space="0" w:color="auto"/>
              <w:right w:val="single" w:sz="4" w:space="0" w:color="auto"/>
            </w:tcBorders>
            <w:shd w:val="clear" w:color="auto" w:fill="auto"/>
            <w:vAlign w:val="center"/>
          </w:tcPr>
          <w:p w:rsidR="00D57CCB" w:rsidRDefault="00D57CCB" w:rsidP="000F6B79">
            <w:pPr>
              <w:jc w:val="center"/>
              <w:textAlignment w:val="center"/>
              <w:rPr>
                <w:rFonts w:ascii="仿宋" w:eastAsia="仿宋" w:hAnsi="仿宋" w:cs="仿宋"/>
                <w:color w:val="000000"/>
                <w:kern w:val="0"/>
                <w:sz w:val="24"/>
              </w:rPr>
            </w:pPr>
          </w:p>
        </w:tc>
        <w:tc>
          <w:tcPr>
            <w:tcW w:w="5386" w:type="dxa"/>
            <w:gridSpan w:val="2"/>
            <w:tcBorders>
              <w:left w:val="nil"/>
              <w:bottom w:val="single" w:sz="4" w:space="0" w:color="auto"/>
              <w:right w:val="single" w:sz="4" w:space="0" w:color="auto"/>
            </w:tcBorders>
            <w:shd w:val="clear" w:color="auto" w:fill="auto"/>
            <w:vAlign w:val="center"/>
          </w:tcPr>
          <w:p w:rsidR="00D57CCB" w:rsidRDefault="00D57CCB" w:rsidP="000F6B79">
            <w:pPr>
              <w:jc w:val="center"/>
              <w:textAlignment w:val="center"/>
              <w:rPr>
                <w:rFonts w:ascii="仿宋" w:eastAsia="仿宋" w:hAnsi="仿宋" w:cs="仿宋"/>
                <w:color w:val="000000"/>
                <w:kern w:val="0"/>
                <w:sz w:val="24"/>
              </w:rPr>
            </w:pPr>
          </w:p>
        </w:tc>
        <w:tc>
          <w:tcPr>
            <w:tcW w:w="845" w:type="dxa"/>
            <w:tcBorders>
              <w:left w:val="nil"/>
              <w:bottom w:val="single" w:sz="4" w:space="0" w:color="auto"/>
              <w:right w:val="single" w:sz="4" w:space="0" w:color="auto"/>
            </w:tcBorders>
            <w:shd w:val="clear" w:color="auto" w:fill="auto"/>
            <w:vAlign w:val="center"/>
          </w:tcPr>
          <w:p w:rsidR="00D57CCB" w:rsidRDefault="00D57CCB" w:rsidP="000F6B79">
            <w:pPr>
              <w:jc w:val="center"/>
              <w:textAlignment w:val="center"/>
              <w:rPr>
                <w:rFonts w:ascii="仿宋" w:eastAsia="仿宋" w:hAnsi="仿宋" w:cs="仿宋"/>
                <w:color w:val="000000"/>
                <w:kern w:val="0"/>
                <w:sz w:val="24"/>
              </w:rPr>
            </w:pPr>
          </w:p>
        </w:tc>
      </w:tr>
      <w:tr w:rsidR="00EE7EB9" w:rsidTr="00AC0ECF">
        <w:trPr>
          <w:gridAfter w:val="1"/>
          <w:wAfter w:w="7" w:type="dxa"/>
          <w:trHeight w:val="1141"/>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EE7EB9" w:rsidRDefault="00EE7EB9" w:rsidP="000F6B79">
            <w:pPr>
              <w:jc w:val="center"/>
              <w:rPr>
                <w:rFonts w:ascii="仿宋" w:eastAsia="仿宋" w:hAnsi="仿宋" w:cs="宋体"/>
                <w:kern w:val="0"/>
                <w:sz w:val="24"/>
              </w:rPr>
            </w:pP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6.2 在校学生综合素质（35%）</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6.2.1 近</w:t>
            </w:r>
            <w:r>
              <w:rPr>
                <w:rFonts w:ascii="仿宋" w:eastAsia="仿宋" w:hAnsi="仿宋" w:cs="仿宋" w:hint="eastAsia"/>
                <w:kern w:val="0"/>
                <w:sz w:val="24"/>
              </w:rPr>
              <w:t>四年参加创新创业活动及参与科研项目学生人次数与专业在校生总数的比值（30%）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创新创业活动指：国家、省、校三级“大学生创新创业训练计划”；科研项目指：学生作为课题组成员参加的各类国家、省部和市级纵向项目，以及学校科技管理部门科研考核统计的横向项目</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定量</w:t>
            </w:r>
          </w:p>
        </w:tc>
      </w:tr>
      <w:tr w:rsidR="00EE7EB9" w:rsidTr="00AC0ECF">
        <w:trPr>
          <w:gridAfter w:val="1"/>
          <w:wAfter w:w="7" w:type="dxa"/>
          <w:trHeight w:val="900"/>
        </w:trPr>
        <w:tc>
          <w:tcPr>
            <w:tcW w:w="1843"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6.2.2 近</w:t>
            </w:r>
            <w:r>
              <w:rPr>
                <w:rFonts w:ascii="仿宋" w:eastAsia="仿宋" w:hAnsi="仿宋" w:cs="仿宋" w:hint="eastAsia"/>
                <w:kern w:val="0"/>
                <w:sz w:val="24"/>
              </w:rPr>
              <w:t>四年</w:t>
            </w:r>
            <w:r>
              <w:rPr>
                <w:rFonts w:ascii="仿宋" w:eastAsia="仿宋" w:hAnsi="仿宋" w:cs="仿宋" w:hint="eastAsia"/>
                <w:color w:val="000000"/>
                <w:kern w:val="0"/>
                <w:sz w:val="24"/>
              </w:rPr>
              <w:t>学生获省级以上各类竞赛奖励情况（20%）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color w:val="000000"/>
                <w:kern w:val="0"/>
                <w:sz w:val="24"/>
              </w:rPr>
              <w:t>该专业学生为获奖人之一</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定量</w:t>
            </w:r>
          </w:p>
        </w:tc>
      </w:tr>
      <w:tr w:rsidR="00EE7EB9" w:rsidTr="00AC0ECF">
        <w:trPr>
          <w:gridAfter w:val="1"/>
          <w:wAfter w:w="7" w:type="dxa"/>
          <w:trHeight w:val="762"/>
        </w:trPr>
        <w:tc>
          <w:tcPr>
            <w:tcW w:w="1843"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6.2.3 近</w:t>
            </w:r>
            <w:r>
              <w:rPr>
                <w:rFonts w:ascii="仿宋" w:eastAsia="仿宋" w:hAnsi="仿宋" w:cs="仿宋" w:hint="eastAsia"/>
                <w:kern w:val="0"/>
                <w:sz w:val="24"/>
              </w:rPr>
              <w:t>四年</w:t>
            </w:r>
            <w:r>
              <w:rPr>
                <w:rFonts w:ascii="仿宋" w:eastAsia="仿宋" w:hAnsi="仿宋" w:cs="仿宋" w:hint="eastAsia"/>
                <w:color w:val="000000"/>
                <w:kern w:val="0"/>
                <w:sz w:val="24"/>
              </w:rPr>
              <w:t>学生发表学术论文情况（10%）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kern w:val="0"/>
                <w:sz w:val="24"/>
              </w:rPr>
              <w:t>该专业学生为发表学术论文第一作者</w:t>
            </w:r>
            <w:r w:rsidR="00535E05">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定量</w:t>
            </w:r>
          </w:p>
        </w:tc>
      </w:tr>
      <w:tr w:rsidR="00EE7EB9" w:rsidTr="00AC0ECF">
        <w:trPr>
          <w:gridAfter w:val="1"/>
          <w:wAfter w:w="7" w:type="dxa"/>
          <w:trHeight w:val="900"/>
        </w:trPr>
        <w:tc>
          <w:tcPr>
            <w:tcW w:w="1843"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 xml:space="preserve">6.2.4 </w:t>
            </w:r>
            <w:r>
              <w:rPr>
                <w:rFonts w:ascii="仿宋" w:eastAsia="仿宋" w:hAnsi="仿宋" w:cs="仿宋" w:hint="eastAsia"/>
                <w:kern w:val="0"/>
                <w:sz w:val="24"/>
              </w:rPr>
              <w:t>近四年执业护士资格考</w:t>
            </w:r>
            <w:r>
              <w:rPr>
                <w:rFonts w:ascii="仿宋" w:eastAsia="仿宋" w:hAnsi="仿宋" w:cs="仿宋" w:hint="eastAsia"/>
                <w:color w:val="000000"/>
                <w:kern w:val="0"/>
                <w:sz w:val="24"/>
              </w:rPr>
              <w:t>试通过率（30%）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kern w:val="0"/>
                <w:sz w:val="24"/>
              </w:rPr>
              <w:t>仅计算应届毕业生执业护士资格考试通过情况</w:t>
            </w:r>
            <w:r w:rsidR="00535E05">
              <w:rPr>
                <w:rFonts w:ascii="仿宋" w:eastAsia="仿宋" w:hAnsi="仿宋" w:cs="仿宋" w:hint="eastAsia"/>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定量</w:t>
            </w:r>
          </w:p>
        </w:tc>
      </w:tr>
      <w:tr w:rsidR="00EE7EB9" w:rsidTr="00AC0ECF">
        <w:trPr>
          <w:gridAfter w:val="1"/>
          <w:wAfter w:w="7" w:type="dxa"/>
          <w:trHeight w:val="658"/>
        </w:trPr>
        <w:tc>
          <w:tcPr>
            <w:tcW w:w="1843"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6.2.5 五名优秀在校生简</w:t>
            </w:r>
            <w:r>
              <w:rPr>
                <w:rFonts w:ascii="仿宋" w:eastAsia="仿宋" w:hAnsi="仿宋" w:cs="仿宋" w:hint="eastAsia"/>
                <w:kern w:val="0"/>
                <w:sz w:val="24"/>
              </w:rPr>
              <w:t>介（10%）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宋体"/>
                <w:kern w:val="0"/>
                <w:sz w:val="24"/>
              </w:rPr>
            </w:pPr>
            <w:r>
              <w:rPr>
                <w:rFonts w:ascii="仿宋" w:eastAsia="仿宋" w:hAnsi="仿宋" w:cs="仿宋" w:hint="eastAsia"/>
                <w:kern w:val="0"/>
                <w:sz w:val="24"/>
              </w:rPr>
              <w:t>本专</w:t>
            </w:r>
            <w:r>
              <w:rPr>
                <w:rFonts w:ascii="仿宋" w:eastAsia="仿宋" w:hAnsi="仿宋" w:cs="仿宋" w:hint="eastAsia"/>
                <w:color w:val="000000"/>
                <w:kern w:val="0"/>
                <w:sz w:val="24"/>
              </w:rPr>
              <w:t>业在校生，每人简介300字以内</w:t>
            </w:r>
            <w:r w:rsidR="00535E05">
              <w:rPr>
                <w:rFonts w:ascii="仿宋" w:eastAsia="仿宋" w:hAnsi="仿宋" w:cs="仿宋" w:hint="eastAsia"/>
                <w:color w:val="000000"/>
                <w:kern w:val="0"/>
                <w:sz w:val="24"/>
              </w:rPr>
              <w:t>。</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宋体"/>
                <w:kern w:val="0"/>
                <w:sz w:val="24"/>
              </w:rPr>
            </w:pPr>
            <w:r>
              <w:rPr>
                <w:rFonts w:ascii="仿宋" w:eastAsia="仿宋" w:hAnsi="仿宋" w:cs="仿宋" w:hint="eastAsia"/>
                <w:color w:val="000000"/>
                <w:kern w:val="0"/>
                <w:sz w:val="24"/>
              </w:rPr>
              <w:t>定性</w:t>
            </w:r>
          </w:p>
        </w:tc>
      </w:tr>
      <w:tr w:rsidR="00EE7EB9" w:rsidTr="00AC0ECF">
        <w:trPr>
          <w:gridAfter w:val="1"/>
          <w:wAfter w:w="7" w:type="dxa"/>
          <w:trHeight w:val="658"/>
        </w:trPr>
        <w:tc>
          <w:tcPr>
            <w:tcW w:w="1843" w:type="dxa"/>
            <w:tcBorders>
              <w:top w:val="single" w:sz="4" w:space="0" w:color="auto"/>
              <w:left w:val="single" w:sz="4" w:space="0" w:color="auto"/>
              <w:bottom w:val="single" w:sz="4" w:space="0" w:color="auto"/>
              <w:right w:val="single" w:sz="4" w:space="0" w:color="auto"/>
            </w:tcBorders>
            <w:vAlign w:val="center"/>
          </w:tcPr>
          <w:p w:rsidR="00EE7EB9" w:rsidRDefault="00EE7EB9">
            <w:pPr>
              <w:widowControl/>
              <w:jc w:val="left"/>
              <w:rPr>
                <w:rFonts w:ascii="仿宋" w:eastAsia="仿宋" w:hAnsi="仿宋" w:cs="宋体"/>
                <w:kern w:val="0"/>
                <w:sz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EE7EB9" w:rsidRDefault="00F217FA">
            <w:pPr>
              <w:widowControl/>
              <w:jc w:val="left"/>
              <w:textAlignment w:val="center"/>
              <w:rPr>
                <w:rFonts w:ascii="仿宋" w:eastAsia="仿宋" w:hAnsi="仿宋" w:cs="宋体"/>
                <w:kern w:val="0"/>
                <w:sz w:val="24"/>
              </w:rPr>
            </w:pPr>
            <w:r>
              <w:rPr>
                <w:rFonts w:ascii="仿宋" w:eastAsia="仿宋" w:hAnsi="仿宋" w:cs="仿宋" w:hint="eastAsia"/>
                <w:color w:val="000000"/>
                <w:kern w:val="0"/>
                <w:sz w:val="24"/>
              </w:rPr>
              <w:t>6.3招生录取情况（30%）</w:t>
            </w:r>
          </w:p>
        </w:tc>
        <w:tc>
          <w:tcPr>
            <w:tcW w:w="453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6.3.1近四年国家统一高考录取的本专业学生入学平均（标准）分数（100%）</w:t>
            </w:r>
          </w:p>
        </w:tc>
        <w:tc>
          <w:tcPr>
            <w:tcW w:w="5386"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rsidP="00535E05">
            <w:pPr>
              <w:widowControl/>
              <w:ind w:firstLineChars="100" w:firstLine="240"/>
              <w:jc w:val="left"/>
              <w:textAlignment w:val="center"/>
              <w:rPr>
                <w:rFonts w:ascii="仿宋" w:eastAsia="仿宋" w:hAnsi="仿宋" w:cs="仿宋"/>
                <w:b/>
                <w:bCs/>
                <w:color w:val="FF0000"/>
                <w:kern w:val="0"/>
                <w:sz w:val="24"/>
              </w:rPr>
            </w:pPr>
            <w:r>
              <w:rPr>
                <w:rFonts w:ascii="仿宋" w:eastAsia="仿宋" w:hAnsi="仿宋" w:cs="仿宋" w:hint="eastAsia"/>
                <w:color w:val="000000"/>
                <w:kern w:val="0"/>
                <w:sz w:val="24"/>
              </w:rPr>
              <w:t>本专业每名学生高考总分（不包括总分）除以该生所在省高考满分值（文、理分科）后的标准分的平均值。</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rsidR="00EE7EB9" w:rsidRDefault="00F217FA">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定量</w:t>
            </w:r>
          </w:p>
        </w:tc>
      </w:tr>
      <w:tr w:rsidR="005B36D7" w:rsidRPr="002E0416" w:rsidTr="00AC0ECF">
        <w:tblPrEx>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PrEx>
        <w:tc>
          <w:tcPr>
            <w:tcW w:w="1843" w:type="dxa"/>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5B36D7" w:rsidRDefault="005B36D7" w:rsidP="00AC0ECF">
            <w:pPr>
              <w:rPr>
                <w:rFonts w:ascii="仿宋" w:eastAsia="仿宋" w:hAnsi="仿宋"/>
              </w:rPr>
            </w:pPr>
            <w:r w:rsidRPr="00592B0C">
              <w:rPr>
                <w:rFonts w:ascii="仿宋" w:eastAsia="仿宋" w:hAnsi="仿宋" w:cs="仿宋" w:hint="eastAsia"/>
                <w:color w:val="000000"/>
                <w:kern w:val="0"/>
                <w:sz w:val="24"/>
              </w:rPr>
              <w:t>7.专业特色及服务区域经济发展情况（满分10分）</w:t>
            </w:r>
          </w:p>
        </w:tc>
        <w:tc>
          <w:tcPr>
            <w:tcW w:w="652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B36D7" w:rsidRDefault="005B36D7" w:rsidP="00592B0C">
            <w:pPr>
              <w:widowControl/>
              <w:jc w:val="left"/>
              <w:textAlignment w:val="center"/>
              <w:rPr>
                <w:rFonts w:ascii="仿宋" w:eastAsia="仿宋" w:hAnsi="仿宋"/>
              </w:rPr>
            </w:pPr>
            <w:r w:rsidRPr="00592B0C">
              <w:rPr>
                <w:rFonts w:ascii="仿宋" w:eastAsia="仿宋" w:hAnsi="仿宋" w:cs="仿宋" w:hint="eastAsia"/>
                <w:color w:val="000000"/>
                <w:kern w:val="0"/>
                <w:sz w:val="24"/>
              </w:rPr>
              <w:t>7.1专业服务区域经济发展情况（20%）</w:t>
            </w:r>
          </w:p>
        </w:tc>
        <w:tc>
          <w:tcPr>
            <w:tcW w:w="538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B36D7" w:rsidRPr="002E0416" w:rsidRDefault="005B36D7" w:rsidP="00535E05">
            <w:pPr>
              <w:widowControl/>
              <w:jc w:val="left"/>
              <w:textAlignment w:val="center"/>
              <w:rPr>
                <w:rFonts w:ascii="仿宋" w:eastAsia="仿宋" w:hAnsi="仿宋"/>
              </w:rPr>
            </w:pPr>
            <w:r>
              <w:rPr>
                <w:rFonts w:ascii="仿宋" w:eastAsia="仿宋" w:hAnsi="仿宋" w:hint="eastAsia"/>
              </w:rPr>
              <w:t xml:space="preserve">   </w:t>
            </w:r>
            <w:r w:rsidRPr="00592B0C">
              <w:rPr>
                <w:rFonts w:ascii="仿宋" w:eastAsia="仿宋" w:hAnsi="仿宋" w:cs="仿宋" w:hint="eastAsia"/>
                <w:color w:val="000000"/>
                <w:kern w:val="0"/>
                <w:sz w:val="24"/>
              </w:rPr>
              <w:t>本专业服务区域经济发展特别是五大区域发展战略情况（800字以内）。</w:t>
            </w:r>
          </w:p>
        </w:tc>
        <w:tc>
          <w:tcPr>
            <w:tcW w:w="858" w:type="dxa"/>
            <w:gridSpan w:val="3"/>
            <w:tcBorders>
              <w:top w:val="single" w:sz="4" w:space="0" w:color="auto"/>
              <w:bottom w:val="single" w:sz="4" w:space="0" w:color="auto"/>
              <w:right w:val="single" w:sz="4" w:space="0" w:color="auto"/>
            </w:tcBorders>
            <w:shd w:val="clear" w:color="auto" w:fill="auto"/>
            <w:vAlign w:val="center"/>
          </w:tcPr>
          <w:p w:rsidR="005B36D7" w:rsidRPr="002E0416" w:rsidRDefault="00AC0ECF" w:rsidP="00AC0ECF">
            <w:pPr>
              <w:widowControl/>
              <w:jc w:val="center"/>
              <w:textAlignment w:val="center"/>
              <w:rPr>
                <w:rFonts w:ascii="仿宋" w:eastAsia="仿宋" w:hAnsi="仿宋"/>
              </w:rPr>
            </w:pPr>
            <w:r w:rsidRPr="00AC0ECF">
              <w:rPr>
                <w:rFonts w:ascii="仿宋" w:eastAsia="仿宋" w:hAnsi="仿宋" w:cs="仿宋" w:hint="eastAsia"/>
                <w:color w:val="000000"/>
                <w:kern w:val="0"/>
                <w:sz w:val="24"/>
              </w:rPr>
              <w:t>定性</w:t>
            </w:r>
          </w:p>
        </w:tc>
      </w:tr>
      <w:tr w:rsidR="005B36D7" w:rsidRPr="00592B0C" w:rsidTr="00AC0ECF">
        <w:tblPrEx>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PrEx>
        <w:tc>
          <w:tcPr>
            <w:tcW w:w="1843" w:type="dxa"/>
            <w:vMerge/>
            <w:tcBorders>
              <w:left w:val="single" w:sz="6" w:space="0" w:color="000000"/>
              <w:bottom w:val="single" w:sz="6" w:space="0" w:color="000000"/>
              <w:right w:val="single" w:sz="6" w:space="0" w:color="000000"/>
            </w:tcBorders>
            <w:tcMar>
              <w:top w:w="75" w:type="dxa"/>
              <w:left w:w="75" w:type="dxa"/>
              <w:bottom w:w="75" w:type="dxa"/>
              <w:right w:w="75" w:type="dxa"/>
            </w:tcMar>
          </w:tcPr>
          <w:p w:rsidR="005B36D7" w:rsidRDefault="005B36D7" w:rsidP="00C748DC">
            <w:pPr>
              <w:jc w:val="center"/>
              <w:rPr>
                <w:rFonts w:ascii="仿宋" w:eastAsia="仿宋" w:hAnsi="仿宋"/>
              </w:rPr>
            </w:pPr>
          </w:p>
        </w:tc>
        <w:tc>
          <w:tcPr>
            <w:tcW w:w="652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B36D7" w:rsidRDefault="005B36D7" w:rsidP="00C748DC">
            <w:pPr>
              <w:rPr>
                <w:rFonts w:ascii="仿宋" w:eastAsia="仿宋" w:hAnsi="仿宋"/>
              </w:rPr>
            </w:pPr>
            <w:r w:rsidRPr="00592B0C">
              <w:rPr>
                <w:rFonts w:ascii="仿宋" w:eastAsia="仿宋" w:hAnsi="仿宋" w:cs="仿宋" w:hint="eastAsia"/>
                <w:color w:val="000000"/>
                <w:kern w:val="0"/>
                <w:sz w:val="24"/>
              </w:rPr>
              <w:t>7.2 专业特色、实施过程和效果（80%）</w:t>
            </w:r>
          </w:p>
        </w:tc>
        <w:tc>
          <w:tcPr>
            <w:tcW w:w="538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B36D7" w:rsidRPr="00592B0C" w:rsidRDefault="005B36D7" w:rsidP="00535E05">
            <w:pPr>
              <w:widowControl/>
              <w:jc w:val="left"/>
              <w:textAlignment w:val="center"/>
              <w:rPr>
                <w:rFonts w:ascii="仿宋" w:eastAsia="仿宋" w:hAnsi="仿宋" w:cs="仿宋"/>
                <w:color w:val="000000"/>
                <w:kern w:val="0"/>
                <w:sz w:val="24"/>
              </w:rPr>
            </w:pPr>
            <w:r w:rsidRPr="00592B0C">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 xml:space="preserve"> </w:t>
            </w:r>
            <w:r w:rsidRPr="00592B0C">
              <w:rPr>
                <w:rFonts w:ascii="仿宋" w:eastAsia="仿宋" w:hAnsi="仿宋" w:cs="仿宋" w:hint="eastAsia"/>
                <w:color w:val="000000"/>
                <w:kern w:val="0"/>
                <w:sz w:val="24"/>
              </w:rPr>
              <w:t>在实践中培育和凝练出的专业特色及其效果说明（1000字以内）。</w:t>
            </w:r>
          </w:p>
        </w:tc>
        <w:tc>
          <w:tcPr>
            <w:tcW w:w="858" w:type="dxa"/>
            <w:gridSpan w:val="3"/>
            <w:tcBorders>
              <w:top w:val="single" w:sz="4" w:space="0" w:color="auto"/>
              <w:bottom w:val="single" w:sz="4" w:space="0" w:color="auto"/>
              <w:right w:val="single" w:sz="4" w:space="0" w:color="auto"/>
            </w:tcBorders>
            <w:shd w:val="clear" w:color="auto" w:fill="auto"/>
            <w:vAlign w:val="center"/>
          </w:tcPr>
          <w:p w:rsidR="005B36D7" w:rsidRPr="00592B0C" w:rsidRDefault="00AC0ECF" w:rsidP="00AC0ECF">
            <w:pPr>
              <w:widowControl/>
              <w:jc w:val="center"/>
              <w:textAlignment w:val="center"/>
              <w:rPr>
                <w:rFonts w:ascii="仿宋" w:eastAsia="仿宋" w:hAnsi="仿宋"/>
              </w:rPr>
            </w:pPr>
            <w:r w:rsidRPr="00AC0ECF">
              <w:rPr>
                <w:rFonts w:ascii="仿宋" w:eastAsia="仿宋" w:hAnsi="仿宋" w:cs="仿宋" w:hint="eastAsia"/>
                <w:color w:val="000000"/>
                <w:kern w:val="0"/>
                <w:sz w:val="24"/>
              </w:rPr>
              <w:t>定性</w:t>
            </w:r>
          </w:p>
        </w:tc>
      </w:tr>
    </w:tbl>
    <w:p w:rsidR="00EE7EB9" w:rsidRPr="00DC68A5" w:rsidRDefault="00EE7EB9">
      <w:pPr>
        <w:spacing w:line="240" w:lineRule="exact"/>
        <w:ind w:firstLineChars="200" w:firstLine="640"/>
        <w:rPr>
          <w:rFonts w:ascii="仿宋" w:eastAsia="仿宋" w:hAnsi="仿宋"/>
          <w:sz w:val="32"/>
          <w:szCs w:val="32"/>
        </w:rPr>
      </w:pPr>
    </w:p>
    <w:sectPr w:rsidR="00EE7EB9" w:rsidRPr="00DC68A5" w:rsidSect="00BE42D1">
      <w:footerReference w:type="default" r:id="rId8"/>
      <w:pgSz w:w="16838" w:h="11906" w:orient="landscape"/>
      <w:pgMar w:top="1134" w:right="1134" w:bottom="1134" w:left="1134"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2871" w:rsidRDefault="00FC2871">
      <w:r>
        <w:separator/>
      </w:r>
    </w:p>
  </w:endnote>
  <w:endnote w:type="continuationSeparator" w:id="1">
    <w:p w:rsidR="00FC2871" w:rsidRDefault="00FC2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EB9" w:rsidRDefault="002172E4">
    <w:pPr>
      <w:pStyle w:val="a5"/>
      <w:jc w:val="center"/>
    </w:pPr>
    <w:r>
      <w:fldChar w:fldCharType="begin"/>
    </w:r>
    <w:r w:rsidR="00F217FA">
      <w:instrText>PAGE   \* MERGEFORMAT</w:instrText>
    </w:r>
    <w:r>
      <w:fldChar w:fldCharType="separate"/>
    </w:r>
    <w:r w:rsidR="00D84950">
      <w:rPr>
        <w:noProof/>
      </w:rPr>
      <w:t>1</w:t>
    </w:r>
    <w:r>
      <w:fldChar w:fldCharType="end"/>
    </w:r>
  </w:p>
  <w:p w:rsidR="00EE7EB9" w:rsidRDefault="00EE7EB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2871" w:rsidRDefault="00FC2871">
      <w:r>
        <w:separator/>
      </w:r>
    </w:p>
  </w:footnote>
  <w:footnote w:type="continuationSeparator" w:id="1">
    <w:p w:rsidR="00FC2871" w:rsidRDefault="00FC28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stylePaneFormatFilter w:val="3F01"/>
  <w:defaultTabStop w:val="420"/>
  <w:drawingGridHorizontalSpacing w:val="105"/>
  <w:drawingGridVerticalSpacing w:val="156"/>
  <w:noPunctuationKerning/>
  <w:characterSpacingControl w:val="compressPunctuation"/>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5F73"/>
    <w:rsid w:val="00010EF5"/>
    <w:rsid w:val="000121F6"/>
    <w:rsid w:val="000164FD"/>
    <w:rsid w:val="00027E5A"/>
    <w:rsid w:val="00027EC1"/>
    <w:rsid w:val="00034454"/>
    <w:rsid w:val="00041EE4"/>
    <w:rsid w:val="00043A35"/>
    <w:rsid w:val="00046B6C"/>
    <w:rsid w:val="00050793"/>
    <w:rsid w:val="00056578"/>
    <w:rsid w:val="00057BF1"/>
    <w:rsid w:val="000601E8"/>
    <w:rsid w:val="00062192"/>
    <w:rsid w:val="0006299D"/>
    <w:rsid w:val="00071674"/>
    <w:rsid w:val="00073BA9"/>
    <w:rsid w:val="00081A7F"/>
    <w:rsid w:val="000858AB"/>
    <w:rsid w:val="00086CBF"/>
    <w:rsid w:val="0009086B"/>
    <w:rsid w:val="00092B41"/>
    <w:rsid w:val="000963A7"/>
    <w:rsid w:val="000979AE"/>
    <w:rsid w:val="000A2232"/>
    <w:rsid w:val="000A3EBD"/>
    <w:rsid w:val="000B1708"/>
    <w:rsid w:val="000B3435"/>
    <w:rsid w:val="000C23A9"/>
    <w:rsid w:val="000C684F"/>
    <w:rsid w:val="000D6BD5"/>
    <w:rsid w:val="000D6F59"/>
    <w:rsid w:val="000D72B5"/>
    <w:rsid w:val="000E00E5"/>
    <w:rsid w:val="000E1852"/>
    <w:rsid w:val="000E6576"/>
    <w:rsid w:val="000F0365"/>
    <w:rsid w:val="000F0C19"/>
    <w:rsid w:val="000F4663"/>
    <w:rsid w:val="000F6B79"/>
    <w:rsid w:val="000F6C88"/>
    <w:rsid w:val="000F7CB8"/>
    <w:rsid w:val="00100B29"/>
    <w:rsid w:val="00110CCB"/>
    <w:rsid w:val="001110BA"/>
    <w:rsid w:val="00111EB3"/>
    <w:rsid w:val="00115992"/>
    <w:rsid w:val="00115CC1"/>
    <w:rsid w:val="00120049"/>
    <w:rsid w:val="0012072B"/>
    <w:rsid w:val="00120A6C"/>
    <w:rsid w:val="0012271B"/>
    <w:rsid w:val="00122820"/>
    <w:rsid w:val="0012292D"/>
    <w:rsid w:val="00127697"/>
    <w:rsid w:val="0013363D"/>
    <w:rsid w:val="00133882"/>
    <w:rsid w:val="00134ACA"/>
    <w:rsid w:val="00136F55"/>
    <w:rsid w:val="001371E0"/>
    <w:rsid w:val="001413F2"/>
    <w:rsid w:val="00143235"/>
    <w:rsid w:val="0015516F"/>
    <w:rsid w:val="00155735"/>
    <w:rsid w:val="00155902"/>
    <w:rsid w:val="001602C8"/>
    <w:rsid w:val="001628F3"/>
    <w:rsid w:val="00165A5E"/>
    <w:rsid w:val="00167B7E"/>
    <w:rsid w:val="00167B93"/>
    <w:rsid w:val="00172A27"/>
    <w:rsid w:val="00177A2B"/>
    <w:rsid w:val="001860EA"/>
    <w:rsid w:val="00191694"/>
    <w:rsid w:val="001919EC"/>
    <w:rsid w:val="00191C5E"/>
    <w:rsid w:val="001A4B17"/>
    <w:rsid w:val="001A4C2C"/>
    <w:rsid w:val="001A6190"/>
    <w:rsid w:val="001B1E83"/>
    <w:rsid w:val="001B5D40"/>
    <w:rsid w:val="001B6213"/>
    <w:rsid w:val="001B72E1"/>
    <w:rsid w:val="001C02C4"/>
    <w:rsid w:val="001C26ED"/>
    <w:rsid w:val="001C6370"/>
    <w:rsid w:val="001D08EA"/>
    <w:rsid w:val="001D57D6"/>
    <w:rsid w:val="001E0E35"/>
    <w:rsid w:val="001E328B"/>
    <w:rsid w:val="001E4192"/>
    <w:rsid w:val="001F113D"/>
    <w:rsid w:val="001F5AC9"/>
    <w:rsid w:val="002040EA"/>
    <w:rsid w:val="00211FC5"/>
    <w:rsid w:val="002144EC"/>
    <w:rsid w:val="00215B07"/>
    <w:rsid w:val="002172E4"/>
    <w:rsid w:val="00223E48"/>
    <w:rsid w:val="00224376"/>
    <w:rsid w:val="00226963"/>
    <w:rsid w:val="00227CCE"/>
    <w:rsid w:val="00230099"/>
    <w:rsid w:val="00234542"/>
    <w:rsid w:val="00234C7F"/>
    <w:rsid w:val="00241EB5"/>
    <w:rsid w:val="00242441"/>
    <w:rsid w:val="00243C1A"/>
    <w:rsid w:val="00252158"/>
    <w:rsid w:val="002575C6"/>
    <w:rsid w:val="00261757"/>
    <w:rsid w:val="00274867"/>
    <w:rsid w:val="002759AA"/>
    <w:rsid w:val="002762C6"/>
    <w:rsid w:val="002777F0"/>
    <w:rsid w:val="00277A94"/>
    <w:rsid w:val="002803B6"/>
    <w:rsid w:val="00286881"/>
    <w:rsid w:val="00286DD6"/>
    <w:rsid w:val="002879D2"/>
    <w:rsid w:val="00287EDB"/>
    <w:rsid w:val="002924C2"/>
    <w:rsid w:val="002949E8"/>
    <w:rsid w:val="002A0827"/>
    <w:rsid w:val="002A0A40"/>
    <w:rsid w:val="002A2730"/>
    <w:rsid w:val="002B3619"/>
    <w:rsid w:val="002B78B2"/>
    <w:rsid w:val="002C31CB"/>
    <w:rsid w:val="002C44EC"/>
    <w:rsid w:val="002C7D53"/>
    <w:rsid w:val="002D1EB5"/>
    <w:rsid w:val="002D4F39"/>
    <w:rsid w:val="002E2CA7"/>
    <w:rsid w:val="002E336C"/>
    <w:rsid w:val="002E351A"/>
    <w:rsid w:val="002E66B6"/>
    <w:rsid w:val="002F154B"/>
    <w:rsid w:val="003005B3"/>
    <w:rsid w:val="003024E3"/>
    <w:rsid w:val="00303DDA"/>
    <w:rsid w:val="003055A3"/>
    <w:rsid w:val="00305B5E"/>
    <w:rsid w:val="003153FD"/>
    <w:rsid w:val="00317BFA"/>
    <w:rsid w:val="00322727"/>
    <w:rsid w:val="003337D9"/>
    <w:rsid w:val="00335A6A"/>
    <w:rsid w:val="00336CC6"/>
    <w:rsid w:val="00344517"/>
    <w:rsid w:val="00350C19"/>
    <w:rsid w:val="0035100A"/>
    <w:rsid w:val="003516B1"/>
    <w:rsid w:val="00353802"/>
    <w:rsid w:val="00362F24"/>
    <w:rsid w:val="00365CB3"/>
    <w:rsid w:val="00366BF9"/>
    <w:rsid w:val="00376B7B"/>
    <w:rsid w:val="00390274"/>
    <w:rsid w:val="00393A1B"/>
    <w:rsid w:val="003A2187"/>
    <w:rsid w:val="003A3126"/>
    <w:rsid w:val="003A7848"/>
    <w:rsid w:val="003B2A58"/>
    <w:rsid w:val="003B3897"/>
    <w:rsid w:val="003B4865"/>
    <w:rsid w:val="003B70E1"/>
    <w:rsid w:val="003C0538"/>
    <w:rsid w:val="003C0F29"/>
    <w:rsid w:val="003C1846"/>
    <w:rsid w:val="003C34FC"/>
    <w:rsid w:val="003D4717"/>
    <w:rsid w:val="003D485E"/>
    <w:rsid w:val="003D55BE"/>
    <w:rsid w:val="003D76A6"/>
    <w:rsid w:val="003F34DD"/>
    <w:rsid w:val="003F3B21"/>
    <w:rsid w:val="003F5E88"/>
    <w:rsid w:val="003F69B7"/>
    <w:rsid w:val="004038B6"/>
    <w:rsid w:val="00404991"/>
    <w:rsid w:val="00405382"/>
    <w:rsid w:val="00405D57"/>
    <w:rsid w:val="004063FD"/>
    <w:rsid w:val="004073C0"/>
    <w:rsid w:val="00421C27"/>
    <w:rsid w:val="004320C5"/>
    <w:rsid w:val="0043356D"/>
    <w:rsid w:val="004344ED"/>
    <w:rsid w:val="004409E0"/>
    <w:rsid w:val="00450543"/>
    <w:rsid w:val="00455215"/>
    <w:rsid w:val="00462A6C"/>
    <w:rsid w:val="00477F1A"/>
    <w:rsid w:val="0049491C"/>
    <w:rsid w:val="00496C21"/>
    <w:rsid w:val="004B6413"/>
    <w:rsid w:val="004C142D"/>
    <w:rsid w:val="004C16B9"/>
    <w:rsid w:val="004C2654"/>
    <w:rsid w:val="004D0CC6"/>
    <w:rsid w:val="004D4F2A"/>
    <w:rsid w:val="004E0E0F"/>
    <w:rsid w:val="004E49B8"/>
    <w:rsid w:val="004E7FEC"/>
    <w:rsid w:val="004F0D16"/>
    <w:rsid w:val="004F3C3D"/>
    <w:rsid w:val="005013A7"/>
    <w:rsid w:val="00505997"/>
    <w:rsid w:val="0050606C"/>
    <w:rsid w:val="00506DCE"/>
    <w:rsid w:val="005109AC"/>
    <w:rsid w:val="0051242B"/>
    <w:rsid w:val="00512D50"/>
    <w:rsid w:val="00514DC5"/>
    <w:rsid w:val="00514DDF"/>
    <w:rsid w:val="005334AD"/>
    <w:rsid w:val="005351E5"/>
    <w:rsid w:val="00535E05"/>
    <w:rsid w:val="00543202"/>
    <w:rsid w:val="00543944"/>
    <w:rsid w:val="005525BC"/>
    <w:rsid w:val="00552FC0"/>
    <w:rsid w:val="00554841"/>
    <w:rsid w:val="005553DC"/>
    <w:rsid w:val="00556639"/>
    <w:rsid w:val="00560FC3"/>
    <w:rsid w:val="0056248E"/>
    <w:rsid w:val="00567614"/>
    <w:rsid w:val="005707BA"/>
    <w:rsid w:val="005752E4"/>
    <w:rsid w:val="00575AB3"/>
    <w:rsid w:val="005805EE"/>
    <w:rsid w:val="00581AC1"/>
    <w:rsid w:val="005843A7"/>
    <w:rsid w:val="0058582D"/>
    <w:rsid w:val="00586322"/>
    <w:rsid w:val="0058744C"/>
    <w:rsid w:val="00592B0C"/>
    <w:rsid w:val="0059329E"/>
    <w:rsid w:val="005A195B"/>
    <w:rsid w:val="005A274B"/>
    <w:rsid w:val="005A2E1C"/>
    <w:rsid w:val="005A3516"/>
    <w:rsid w:val="005A4611"/>
    <w:rsid w:val="005B36D7"/>
    <w:rsid w:val="005B5A5A"/>
    <w:rsid w:val="005B6435"/>
    <w:rsid w:val="005B6E4E"/>
    <w:rsid w:val="005C1B22"/>
    <w:rsid w:val="005C3EC0"/>
    <w:rsid w:val="005C3F29"/>
    <w:rsid w:val="005C5750"/>
    <w:rsid w:val="005C7CCD"/>
    <w:rsid w:val="005D2F7D"/>
    <w:rsid w:val="005E2690"/>
    <w:rsid w:val="005E6DFE"/>
    <w:rsid w:val="005E793A"/>
    <w:rsid w:val="005F1D74"/>
    <w:rsid w:val="005F44F7"/>
    <w:rsid w:val="005F46E8"/>
    <w:rsid w:val="005F71CD"/>
    <w:rsid w:val="006003F3"/>
    <w:rsid w:val="00604850"/>
    <w:rsid w:val="0060495F"/>
    <w:rsid w:val="00604A25"/>
    <w:rsid w:val="00606B8B"/>
    <w:rsid w:val="006151CD"/>
    <w:rsid w:val="00621194"/>
    <w:rsid w:val="00622B84"/>
    <w:rsid w:val="00635174"/>
    <w:rsid w:val="00636049"/>
    <w:rsid w:val="006407B5"/>
    <w:rsid w:val="00644160"/>
    <w:rsid w:val="00651EE2"/>
    <w:rsid w:val="00651F95"/>
    <w:rsid w:val="00660949"/>
    <w:rsid w:val="00661900"/>
    <w:rsid w:val="006624DC"/>
    <w:rsid w:val="006649D6"/>
    <w:rsid w:val="00664F35"/>
    <w:rsid w:val="00666244"/>
    <w:rsid w:val="006734F3"/>
    <w:rsid w:val="00673BCC"/>
    <w:rsid w:val="00685C9D"/>
    <w:rsid w:val="00693347"/>
    <w:rsid w:val="0069766C"/>
    <w:rsid w:val="00697D86"/>
    <w:rsid w:val="006A07E6"/>
    <w:rsid w:val="006A1C2F"/>
    <w:rsid w:val="006A32F5"/>
    <w:rsid w:val="006B2100"/>
    <w:rsid w:val="006B706C"/>
    <w:rsid w:val="006D50FF"/>
    <w:rsid w:val="006D58A7"/>
    <w:rsid w:val="006D60B4"/>
    <w:rsid w:val="006E13AB"/>
    <w:rsid w:val="006E388A"/>
    <w:rsid w:val="006E550C"/>
    <w:rsid w:val="006E59B5"/>
    <w:rsid w:val="006F2088"/>
    <w:rsid w:val="006F4DF8"/>
    <w:rsid w:val="00702908"/>
    <w:rsid w:val="0072078C"/>
    <w:rsid w:val="007227AD"/>
    <w:rsid w:val="007349E4"/>
    <w:rsid w:val="00734E8E"/>
    <w:rsid w:val="007413B1"/>
    <w:rsid w:val="007423E0"/>
    <w:rsid w:val="00743330"/>
    <w:rsid w:val="00744477"/>
    <w:rsid w:val="00760D14"/>
    <w:rsid w:val="0076256D"/>
    <w:rsid w:val="00771783"/>
    <w:rsid w:val="0077220E"/>
    <w:rsid w:val="00774DD7"/>
    <w:rsid w:val="00781658"/>
    <w:rsid w:val="0079165D"/>
    <w:rsid w:val="0079401E"/>
    <w:rsid w:val="0079526C"/>
    <w:rsid w:val="00795AFC"/>
    <w:rsid w:val="007A6E25"/>
    <w:rsid w:val="007B297E"/>
    <w:rsid w:val="007C49C8"/>
    <w:rsid w:val="007D0EC0"/>
    <w:rsid w:val="007D6AB0"/>
    <w:rsid w:val="007D7083"/>
    <w:rsid w:val="007E7103"/>
    <w:rsid w:val="007F19AE"/>
    <w:rsid w:val="0080146D"/>
    <w:rsid w:val="0080500D"/>
    <w:rsid w:val="00805C1E"/>
    <w:rsid w:val="00806BF4"/>
    <w:rsid w:val="00823112"/>
    <w:rsid w:val="0082606D"/>
    <w:rsid w:val="008262F6"/>
    <w:rsid w:val="00827453"/>
    <w:rsid w:val="00835239"/>
    <w:rsid w:val="0083736D"/>
    <w:rsid w:val="00840C10"/>
    <w:rsid w:val="00841ECA"/>
    <w:rsid w:val="00843879"/>
    <w:rsid w:val="008438D7"/>
    <w:rsid w:val="00844E29"/>
    <w:rsid w:val="00850138"/>
    <w:rsid w:val="00850999"/>
    <w:rsid w:val="00861DA9"/>
    <w:rsid w:val="0086592D"/>
    <w:rsid w:val="00884CC3"/>
    <w:rsid w:val="008861A7"/>
    <w:rsid w:val="00886408"/>
    <w:rsid w:val="00892F9F"/>
    <w:rsid w:val="008931AD"/>
    <w:rsid w:val="00893F4A"/>
    <w:rsid w:val="008A69E5"/>
    <w:rsid w:val="008A7415"/>
    <w:rsid w:val="008B37AB"/>
    <w:rsid w:val="008B3893"/>
    <w:rsid w:val="008B4A17"/>
    <w:rsid w:val="008B6973"/>
    <w:rsid w:val="008C091B"/>
    <w:rsid w:val="008C2498"/>
    <w:rsid w:val="008C39A7"/>
    <w:rsid w:val="008C5692"/>
    <w:rsid w:val="008C6437"/>
    <w:rsid w:val="008D1B22"/>
    <w:rsid w:val="008D628F"/>
    <w:rsid w:val="008D6887"/>
    <w:rsid w:val="008E0101"/>
    <w:rsid w:val="008E5D1C"/>
    <w:rsid w:val="008E7F04"/>
    <w:rsid w:val="008F103C"/>
    <w:rsid w:val="008F1CD9"/>
    <w:rsid w:val="008F2D95"/>
    <w:rsid w:val="008F6C06"/>
    <w:rsid w:val="00901DF8"/>
    <w:rsid w:val="009027F7"/>
    <w:rsid w:val="00902DA0"/>
    <w:rsid w:val="00907754"/>
    <w:rsid w:val="00927080"/>
    <w:rsid w:val="0093020C"/>
    <w:rsid w:val="00940148"/>
    <w:rsid w:val="00941052"/>
    <w:rsid w:val="009637BF"/>
    <w:rsid w:val="009643D0"/>
    <w:rsid w:val="0096771C"/>
    <w:rsid w:val="009730B1"/>
    <w:rsid w:val="009807CA"/>
    <w:rsid w:val="00981E4E"/>
    <w:rsid w:val="00991FA5"/>
    <w:rsid w:val="009928C5"/>
    <w:rsid w:val="00993A9F"/>
    <w:rsid w:val="00993F76"/>
    <w:rsid w:val="009A4E94"/>
    <w:rsid w:val="009A5844"/>
    <w:rsid w:val="009D1296"/>
    <w:rsid w:val="009D308E"/>
    <w:rsid w:val="009D4937"/>
    <w:rsid w:val="009D7565"/>
    <w:rsid w:val="009D75A7"/>
    <w:rsid w:val="009E72FB"/>
    <w:rsid w:val="009F2EB1"/>
    <w:rsid w:val="009F6EEA"/>
    <w:rsid w:val="00A021DB"/>
    <w:rsid w:val="00A0250A"/>
    <w:rsid w:val="00A06D2E"/>
    <w:rsid w:val="00A127CD"/>
    <w:rsid w:val="00A1299C"/>
    <w:rsid w:val="00A13DD4"/>
    <w:rsid w:val="00A21AF6"/>
    <w:rsid w:val="00A23F6F"/>
    <w:rsid w:val="00A34C7C"/>
    <w:rsid w:val="00A36C71"/>
    <w:rsid w:val="00A418E2"/>
    <w:rsid w:val="00A41AB7"/>
    <w:rsid w:val="00A47C42"/>
    <w:rsid w:val="00A50787"/>
    <w:rsid w:val="00A50B77"/>
    <w:rsid w:val="00A5423F"/>
    <w:rsid w:val="00A5455E"/>
    <w:rsid w:val="00A63B38"/>
    <w:rsid w:val="00A64B3A"/>
    <w:rsid w:val="00A7228A"/>
    <w:rsid w:val="00A81D23"/>
    <w:rsid w:val="00A91D30"/>
    <w:rsid w:val="00A91D5D"/>
    <w:rsid w:val="00A95F22"/>
    <w:rsid w:val="00AA6C21"/>
    <w:rsid w:val="00AB3F51"/>
    <w:rsid w:val="00AB7882"/>
    <w:rsid w:val="00AC0ECF"/>
    <w:rsid w:val="00AC14B8"/>
    <w:rsid w:val="00AD1389"/>
    <w:rsid w:val="00AD62C9"/>
    <w:rsid w:val="00AD7017"/>
    <w:rsid w:val="00AE0194"/>
    <w:rsid w:val="00AE3B5F"/>
    <w:rsid w:val="00AE4266"/>
    <w:rsid w:val="00AF5066"/>
    <w:rsid w:val="00AF7BC3"/>
    <w:rsid w:val="00B04F61"/>
    <w:rsid w:val="00B10E24"/>
    <w:rsid w:val="00B11761"/>
    <w:rsid w:val="00B1544D"/>
    <w:rsid w:val="00B16BC9"/>
    <w:rsid w:val="00B22A46"/>
    <w:rsid w:val="00B23252"/>
    <w:rsid w:val="00B242A6"/>
    <w:rsid w:val="00B34D12"/>
    <w:rsid w:val="00B36911"/>
    <w:rsid w:val="00B37A2B"/>
    <w:rsid w:val="00B44965"/>
    <w:rsid w:val="00B46620"/>
    <w:rsid w:val="00B468CD"/>
    <w:rsid w:val="00B5116C"/>
    <w:rsid w:val="00B520B8"/>
    <w:rsid w:val="00B522B7"/>
    <w:rsid w:val="00B53597"/>
    <w:rsid w:val="00B538F0"/>
    <w:rsid w:val="00B540C3"/>
    <w:rsid w:val="00B61CD3"/>
    <w:rsid w:val="00B677D6"/>
    <w:rsid w:val="00B70179"/>
    <w:rsid w:val="00B71018"/>
    <w:rsid w:val="00B72B80"/>
    <w:rsid w:val="00B768E9"/>
    <w:rsid w:val="00B76D15"/>
    <w:rsid w:val="00B8242D"/>
    <w:rsid w:val="00B85073"/>
    <w:rsid w:val="00B85A47"/>
    <w:rsid w:val="00B92BCD"/>
    <w:rsid w:val="00B952C9"/>
    <w:rsid w:val="00BA25DB"/>
    <w:rsid w:val="00BA5552"/>
    <w:rsid w:val="00BA5B0A"/>
    <w:rsid w:val="00BC2291"/>
    <w:rsid w:val="00BC2ACF"/>
    <w:rsid w:val="00BC6E0B"/>
    <w:rsid w:val="00BD7617"/>
    <w:rsid w:val="00BE38A6"/>
    <w:rsid w:val="00BE42D1"/>
    <w:rsid w:val="00BE6770"/>
    <w:rsid w:val="00BF2AC0"/>
    <w:rsid w:val="00BF2CC2"/>
    <w:rsid w:val="00C0379E"/>
    <w:rsid w:val="00C03850"/>
    <w:rsid w:val="00C1086C"/>
    <w:rsid w:val="00C10BF3"/>
    <w:rsid w:val="00C121E2"/>
    <w:rsid w:val="00C12916"/>
    <w:rsid w:val="00C13531"/>
    <w:rsid w:val="00C225DC"/>
    <w:rsid w:val="00C2304B"/>
    <w:rsid w:val="00C23873"/>
    <w:rsid w:val="00C2522D"/>
    <w:rsid w:val="00C256EE"/>
    <w:rsid w:val="00C36F17"/>
    <w:rsid w:val="00C40FB3"/>
    <w:rsid w:val="00C413A9"/>
    <w:rsid w:val="00C5466F"/>
    <w:rsid w:val="00C56A97"/>
    <w:rsid w:val="00C573F0"/>
    <w:rsid w:val="00C71B46"/>
    <w:rsid w:val="00C8088F"/>
    <w:rsid w:val="00C80D43"/>
    <w:rsid w:val="00C84EDD"/>
    <w:rsid w:val="00C9023D"/>
    <w:rsid w:val="00C92E9F"/>
    <w:rsid w:val="00C96CA6"/>
    <w:rsid w:val="00CA1F31"/>
    <w:rsid w:val="00CB197F"/>
    <w:rsid w:val="00CB3154"/>
    <w:rsid w:val="00CB3A2F"/>
    <w:rsid w:val="00CC7D5F"/>
    <w:rsid w:val="00CD23F2"/>
    <w:rsid w:val="00CE6E83"/>
    <w:rsid w:val="00CE6F39"/>
    <w:rsid w:val="00CE7820"/>
    <w:rsid w:val="00D02EEA"/>
    <w:rsid w:val="00D06456"/>
    <w:rsid w:val="00D101BD"/>
    <w:rsid w:val="00D1052E"/>
    <w:rsid w:val="00D10981"/>
    <w:rsid w:val="00D1642B"/>
    <w:rsid w:val="00D35D18"/>
    <w:rsid w:val="00D36AB1"/>
    <w:rsid w:val="00D4012C"/>
    <w:rsid w:val="00D41D1C"/>
    <w:rsid w:val="00D4404B"/>
    <w:rsid w:val="00D4778E"/>
    <w:rsid w:val="00D55E7B"/>
    <w:rsid w:val="00D57CCB"/>
    <w:rsid w:val="00D634D9"/>
    <w:rsid w:val="00D660C8"/>
    <w:rsid w:val="00D67A8B"/>
    <w:rsid w:val="00D833D9"/>
    <w:rsid w:val="00D84950"/>
    <w:rsid w:val="00D85017"/>
    <w:rsid w:val="00D96842"/>
    <w:rsid w:val="00D96B67"/>
    <w:rsid w:val="00DA2CB1"/>
    <w:rsid w:val="00DB31DC"/>
    <w:rsid w:val="00DB58E3"/>
    <w:rsid w:val="00DC0A87"/>
    <w:rsid w:val="00DC2524"/>
    <w:rsid w:val="00DC68A5"/>
    <w:rsid w:val="00DD31B7"/>
    <w:rsid w:val="00DD6BB1"/>
    <w:rsid w:val="00DD6EF9"/>
    <w:rsid w:val="00DE0244"/>
    <w:rsid w:val="00DE6316"/>
    <w:rsid w:val="00DF5081"/>
    <w:rsid w:val="00DF65C3"/>
    <w:rsid w:val="00DF6E67"/>
    <w:rsid w:val="00E01479"/>
    <w:rsid w:val="00E019DE"/>
    <w:rsid w:val="00E041BF"/>
    <w:rsid w:val="00E04BA2"/>
    <w:rsid w:val="00E069DE"/>
    <w:rsid w:val="00E11188"/>
    <w:rsid w:val="00E14945"/>
    <w:rsid w:val="00E1729C"/>
    <w:rsid w:val="00E22405"/>
    <w:rsid w:val="00E23B34"/>
    <w:rsid w:val="00E2781A"/>
    <w:rsid w:val="00E27962"/>
    <w:rsid w:val="00E34E2A"/>
    <w:rsid w:val="00E36697"/>
    <w:rsid w:val="00E40770"/>
    <w:rsid w:val="00E42FCE"/>
    <w:rsid w:val="00E4427D"/>
    <w:rsid w:val="00E44590"/>
    <w:rsid w:val="00E44C7B"/>
    <w:rsid w:val="00E461AE"/>
    <w:rsid w:val="00E512B7"/>
    <w:rsid w:val="00E54A30"/>
    <w:rsid w:val="00E56A2A"/>
    <w:rsid w:val="00E629FC"/>
    <w:rsid w:val="00E62FE1"/>
    <w:rsid w:val="00E71F4D"/>
    <w:rsid w:val="00E72C78"/>
    <w:rsid w:val="00E7304C"/>
    <w:rsid w:val="00E7411A"/>
    <w:rsid w:val="00E74209"/>
    <w:rsid w:val="00E81810"/>
    <w:rsid w:val="00E81C3A"/>
    <w:rsid w:val="00E81F70"/>
    <w:rsid w:val="00E86A34"/>
    <w:rsid w:val="00E956D4"/>
    <w:rsid w:val="00E96953"/>
    <w:rsid w:val="00E96B41"/>
    <w:rsid w:val="00EA428C"/>
    <w:rsid w:val="00EA4C4B"/>
    <w:rsid w:val="00EA56D1"/>
    <w:rsid w:val="00EA6CA1"/>
    <w:rsid w:val="00EA7A05"/>
    <w:rsid w:val="00EB084D"/>
    <w:rsid w:val="00EB25CE"/>
    <w:rsid w:val="00EB4F69"/>
    <w:rsid w:val="00EB6D10"/>
    <w:rsid w:val="00EB7B9E"/>
    <w:rsid w:val="00EC5816"/>
    <w:rsid w:val="00EC589C"/>
    <w:rsid w:val="00EE7EB9"/>
    <w:rsid w:val="00EF0697"/>
    <w:rsid w:val="00EF24B7"/>
    <w:rsid w:val="00EF43D0"/>
    <w:rsid w:val="00EF4FD2"/>
    <w:rsid w:val="00EF5262"/>
    <w:rsid w:val="00EF68EA"/>
    <w:rsid w:val="00EF6E33"/>
    <w:rsid w:val="00EF7C1E"/>
    <w:rsid w:val="00F00684"/>
    <w:rsid w:val="00F03F8D"/>
    <w:rsid w:val="00F1155A"/>
    <w:rsid w:val="00F1239E"/>
    <w:rsid w:val="00F123BC"/>
    <w:rsid w:val="00F13EF7"/>
    <w:rsid w:val="00F17B03"/>
    <w:rsid w:val="00F204D0"/>
    <w:rsid w:val="00F217FA"/>
    <w:rsid w:val="00F27C78"/>
    <w:rsid w:val="00F338C8"/>
    <w:rsid w:val="00F45BF7"/>
    <w:rsid w:val="00F4736C"/>
    <w:rsid w:val="00F50F47"/>
    <w:rsid w:val="00F54276"/>
    <w:rsid w:val="00F54411"/>
    <w:rsid w:val="00F667B6"/>
    <w:rsid w:val="00F67DA8"/>
    <w:rsid w:val="00F67EEC"/>
    <w:rsid w:val="00F776C4"/>
    <w:rsid w:val="00F77788"/>
    <w:rsid w:val="00F83B84"/>
    <w:rsid w:val="00F95A0D"/>
    <w:rsid w:val="00F960F3"/>
    <w:rsid w:val="00FA25A7"/>
    <w:rsid w:val="00FB0FA9"/>
    <w:rsid w:val="00FC2871"/>
    <w:rsid w:val="00FC346B"/>
    <w:rsid w:val="00FC4309"/>
    <w:rsid w:val="00FC6135"/>
    <w:rsid w:val="00FD2063"/>
    <w:rsid w:val="00FD4758"/>
    <w:rsid w:val="00FE0BF0"/>
    <w:rsid w:val="00FE3326"/>
    <w:rsid w:val="00FE3D8F"/>
    <w:rsid w:val="00FE708E"/>
    <w:rsid w:val="00FF0083"/>
    <w:rsid w:val="00FF1D06"/>
    <w:rsid w:val="00FF2721"/>
    <w:rsid w:val="00FF31CC"/>
    <w:rsid w:val="084F2D3E"/>
    <w:rsid w:val="11F33E58"/>
    <w:rsid w:val="177B7947"/>
    <w:rsid w:val="192C0E00"/>
    <w:rsid w:val="19EF3170"/>
    <w:rsid w:val="1A932775"/>
    <w:rsid w:val="1CCB3882"/>
    <w:rsid w:val="25F46E0F"/>
    <w:rsid w:val="28B26E9B"/>
    <w:rsid w:val="28E3144F"/>
    <w:rsid w:val="2BFB64E2"/>
    <w:rsid w:val="2C0101A6"/>
    <w:rsid w:val="2C95250F"/>
    <w:rsid w:val="2C9F6C22"/>
    <w:rsid w:val="2F9B58A1"/>
    <w:rsid w:val="30F70396"/>
    <w:rsid w:val="326768DE"/>
    <w:rsid w:val="35961318"/>
    <w:rsid w:val="3AB05266"/>
    <w:rsid w:val="3D5C5571"/>
    <w:rsid w:val="401768F3"/>
    <w:rsid w:val="410F0197"/>
    <w:rsid w:val="416833B7"/>
    <w:rsid w:val="4A3326C7"/>
    <w:rsid w:val="4BFC5251"/>
    <w:rsid w:val="504A6CE0"/>
    <w:rsid w:val="52B044BC"/>
    <w:rsid w:val="58457CA2"/>
    <w:rsid w:val="5DAF3F32"/>
    <w:rsid w:val="60E45693"/>
    <w:rsid w:val="64A452E2"/>
    <w:rsid w:val="6558563E"/>
    <w:rsid w:val="65D26221"/>
    <w:rsid w:val="67263829"/>
    <w:rsid w:val="6EF14DAB"/>
    <w:rsid w:val="6F911FED"/>
    <w:rsid w:val="716F3488"/>
    <w:rsid w:val="75F7351E"/>
    <w:rsid w:val="7B2112EE"/>
    <w:rsid w:val="7B57499B"/>
    <w:rsid w:val="7EB715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E42D1"/>
    <w:pPr>
      <w:widowControl w:val="0"/>
      <w:jc w:val="both"/>
    </w:pPr>
    <w:rPr>
      <w:kern w:val="2"/>
      <w:sz w:val="21"/>
      <w:szCs w:val="24"/>
    </w:rPr>
  </w:style>
  <w:style w:type="paragraph" w:styleId="3">
    <w:name w:val="heading 3"/>
    <w:basedOn w:val="a"/>
    <w:next w:val="a"/>
    <w:qFormat/>
    <w:rsid w:val="00BE42D1"/>
    <w:pPr>
      <w:keepNext/>
      <w:keepLines/>
      <w:spacing w:before="260" w:after="260" w:line="413" w:lineRule="auto"/>
      <w:outlineLvl w:val="2"/>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BE42D1"/>
    <w:rPr>
      <w:rFonts w:ascii="宋体" w:hAnsi="Courier New" w:cs="Courier New"/>
      <w:szCs w:val="21"/>
    </w:rPr>
  </w:style>
  <w:style w:type="paragraph" w:styleId="a4">
    <w:name w:val="Balloon Text"/>
    <w:basedOn w:val="a"/>
    <w:qFormat/>
    <w:rsid w:val="00BE42D1"/>
    <w:rPr>
      <w:sz w:val="18"/>
      <w:szCs w:val="18"/>
    </w:rPr>
  </w:style>
  <w:style w:type="paragraph" w:styleId="a5">
    <w:name w:val="footer"/>
    <w:basedOn w:val="a"/>
    <w:link w:val="Char"/>
    <w:uiPriority w:val="99"/>
    <w:qFormat/>
    <w:rsid w:val="00BE42D1"/>
    <w:pPr>
      <w:tabs>
        <w:tab w:val="center" w:pos="4153"/>
        <w:tab w:val="right" w:pos="8306"/>
      </w:tabs>
      <w:snapToGrid w:val="0"/>
      <w:jc w:val="left"/>
    </w:pPr>
    <w:rPr>
      <w:sz w:val="18"/>
      <w:szCs w:val="18"/>
      <w:lang w:val="zh-CN"/>
    </w:rPr>
  </w:style>
  <w:style w:type="paragraph" w:styleId="a6">
    <w:name w:val="header"/>
    <w:basedOn w:val="a"/>
    <w:link w:val="Char0"/>
    <w:qFormat/>
    <w:rsid w:val="00BE42D1"/>
    <w:pPr>
      <w:pBdr>
        <w:bottom w:val="single" w:sz="6" w:space="1" w:color="auto"/>
      </w:pBdr>
      <w:tabs>
        <w:tab w:val="center" w:pos="4153"/>
        <w:tab w:val="right" w:pos="8306"/>
      </w:tabs>
      <w:snapToGrid w:val="0"/>
      <w:jc w:val="center"/>
    </w:pPr>
    <w:rPr>
      <w:sz w:val="18"/>
      <w:szCs w:val="18"/>
      <w:lang w:val="zh-CN"/>
    </w:rPr>
  </w:style>
  <w:style w:type="paragraph" w:styleId="a7">
    <w:name w:val="Title"/>
    <w:basedOn w:val="a"/>
    <w:next w:val="a"/>
    <w:link w:val="Char1"/>
    <w:qFormat/>
    <w:rsid w:val="00BE42D1"/>
    <w:pPr>
      <w:spacing w:before="240" w:after="60"/>
      <w:jc w:val="center"/>
      <w:outlineLvl w:val="0"/>
    </w:pPr>
    <w:rPr>
      <w:rFonts w:ascii="Cambria" w:hAnsi="Cambria"/>
      <w:b/>
      <w:bCs/>
      <w:sz w:val="32"/>
      <w:szCs w:val="32"/>
      <w:lang w:val="zh-CN"/>
    </w:rPr>
  </w:style>
  <w:style w:type="table" w:styleId="a8">
    <w:name w:val="Table Grid"/>
    <w:basedOn w:val="a1"/>
    <w:qFormat/>
    <w:rsid w:val="00BE42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qFormat/>
    <w:rsid w:val="00BE42D1"/>
  </w:style>
  <w:style w:type="character" w:styleId="aa">
    <w:name w:val="Hyperlink"/>
    <w:qFormat/>
    <w:rsid w:val="00BE42D1"/>
    <w:rPr>
      <w:color w:val="0000FF"/>
      <w:u w:val="single"/>
    </w:rPr>
  </w:style>
  <w:style w:type="character" w:customStyle="1" w:styleId="Char0">
    <w:name w:val="页眉 Char"/>
    <w:link w:val="a6"/>
    <w:qFormat/>
    <w:rsid w:val="00BE42D1"/>
    <w:rPr>
      <w:kern w:val="2"/>
      <w:sz w:val="18"/>
      <w:szCs w:val="18"/>
    </w:rPr>
  </w:style>
  <w:style w:type="paragraph" w:styleId="ab">
    <w:name w:val="List Paragraph"/>
    <w:basedOn w:val="a"/>
    <w:qFormat/>
    <w:rsid w:val="00BE42D1"/>
    <w:pPr>
      <w:ind w:firstLineChars="200" w:firstLine="420"/>
    </w:pPr>
  </w:style>
  <w:style w:type="character" w:customStyle="1" w:styleId="Char">
    <w:name w:val="页脚 Char"/>
    <w:link w:val="a5"/>
    <w:uiPriority w:val="99"/>
    <w:qFormat/>
    <w:rsid w:val="00BE42D1"/>
    <w:rPr>
      <w:kern w:val="2"/>
      <w:sz w:val="18"/>
      <w:szCs w:val="18"/>
    </w:rPr>
  </w:style>
  <w:style w:type="paragraph" w:customStyle="1" w:styleId="Default">
    <w:name w:val="Default"/>
    <w:qFormat/>
    <w:rsid w:val="00BE42D1"/>
    <w:pPr>
      <w:widowControl w:val="0"/>
      <w:autoSpaceDE w:val="0"/>
      <w:autoSpaceDN w:val="0"/>
      <w:adjustRightInd w:val="0"/>
    </w:pPr>
    <w:rPr>
      <w:rFonts w:ascii="黑体" w:eastAsia="黑体" w:cs="黑体"/>
      <w:color w:val="000000"/>
      <w:sz w:val="24"/>
      <w:szCs w:val="24"/>
    </w:rPr>
  </w:style>
  <w:style w:type="character" w:customStyle="1" w:styleId="ac">
    <w:name w:val="页脚 字符"/>
    <w:uiPriority w:val="99"/>
    <w:qFormat/>
    <w:rsid w:val="00BE42D1"/>
  </w:style>
  <w:style w:type="table" w:customStyle="1" w:styleId="1">
    <w:name w:val="网格型1"/>
    <w:basedOn w:val="a1"/>
    <w:uiPriority w:val="39"/>
    <w:qFormat/>
    <w:rsid w:val="00BE42D1"/>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uiPriority w:val="59"/>
    <w:qFormat/>
    <w:rsid w:val="00BE42D1"/>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网格型11"/>
    <w:basedOn w:val="a1"/>
    <w:uiPriority w:val="39"/>
    <w:qFormat/>
    <w:rsid w:val="00BE42D1"/>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标题 Char"/>
    <w:link w:val="a7"/>
    <w:qFormat/>
    <w:rsid w:val="00BE42D1"/>
    <w:rPr>
      <w:rFonts w:ascii="Cambria" w:hAnsi="Cambria" w:cs="Times New Roman"/>
      <w:b/>
      <w:bCs/>
      <w:kern w:val="2"/>
      <w:sz w:val="32"/>
      <w:szCs w:val="32"/>
    </w:rPr>
  </w:style>
  <w:style w:type="character" w:customStyle="1" w:styleId="font01">
    <w:name w:val="font01"/>
    <w:basedOn w:val="a0"/>
    <w:qFormat/>
    <w:rsid w:val="00BE42D1"/>
    <w:rPr>
      <w:rFonts w:ascii="仿宋" w:eastAsia="仿宋" w:hAnsi="仿宋" w:cs="仿宋" w:hint="eastAsia"/>
      <w:color w:val="FF0000"/>
      <w:sz w:val="24"/>
      <w:szCs w:val="24"/>
      <w:u w:val="none"/>
    </w:rPr>
  </w:style>
  <w:style w:type="character" w:customStyle="1" w:styleId="font11">
    <w:name w:val="font11"/>
    <w:basedOn w:val="a0"/>
    <w:qFormat/>
    <w:rsid w:val="00BE42D1"/>
    <w:rPr>
      <w:rFonts w:ascii="仿宋" w:eastAsia="仿宋" w:hAnsi="仿宋" w:cs="仿宋" w:hint="eastAsia"/>
      <w:color w:val="000000"/>
      <w:sz w:val="24"/>
      <w:szCs w:val="24"/>
      <w:u w:val="none"/>
    </w:rPr>
  </w:style>
  <w:style w:type="paragraph" w:styleId="ad">
    <w:name w:val="Normal (Web)"/>
    <w:basedOn w:val="a"/>
    <w:uiPriority w:val="99"/>
    <w:unhideWhenUsed/>
    <w:rsid w:val="00BC229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AB397-D0F1-4C51-8F5F-197A83D3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Pages>
  <Words>779</Words>
  <Characters>4444</Characters>
  <Application>Microsoft Office Word</Application>
  <DocSecurity>0</DocSecurity>
  <Lines>37</Lines>
  <Paragraphs>10</Paragraphs>
  <ScaleCrop>false</ScaleCrop>
  <Company/>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《新一轮评估工作方式方法改进的意见》专题之三：</dc:title>
  <dc:creator>wuyan</dc:creator>
  <cp:lastModifiedBy>lenovo</cp:lastModifiedBy>
  <cp:revision>20</cp:revision>
  <cp:lastPrinted>2019-08-16T07:48:00Z</cp:lastPrinted>
  <dcterms:created xsi:type="dcterms:W3CDTF">2018-11-26T14:03:00Z</dcterms:created>
  <dcterms:modified xsi:type="dcterms:W3CDTF">2019-09-23T07:50:00Z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